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 
a) 14 godzin - uczestnictwo w wykładzie, 
b) 2 godziny - sprawdzian pisemny, 
2) praca własna studenta - 59 godzin, w tym: 
a) 32 godziny - bieżące przygotowanie do uczestnictwa w wykładach, 
b) 20 godzin - studia nad literaturą przedmiotu, 
c) 7 godzin - przygotowanie do sprawdzianu
3) Razem: 3 ECTS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- 16 godzin, w tym:
14 godzin - wykład,
2 godziny - sprawdzian,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 
KLIMASZEWSKI M. (2005) - Geomorfologia. Wyd. Naukowe PWN. Warszawa. 
MIZERSKI W. (2002) - Geologia dynamiczna. Wydawnictwo Naukowe PWN, Warszawa. 
CZUBLA P., MIZERSKI W., ŚWIERCZEWSKA-GŁADYSZ E. (2007) - Przewodnik do ćwiczeń z geologii. Wyd.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GK.NIK113_w01: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GK.NIK113_w02: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GK.NIK113_u01: </w:t>
      </w:r>
    </w:p>
    <w:p>
      <w:pPr/>
      <w:r>
        <w:rPr/>
        <w:t xml:space="preserve">potrafi uwzględnić procesy geologiczne oraz formy geomorfologiczne w swojej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GK.NIK113_u02: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2026-04-11T12:01:36+02:00</dcterms:created>
  <dcterms:modified xsi:type="dcterms:W3CDTF">2026-04-11T12:01:36+02:00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