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Monitoring srodowiska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Jolanta Kwiatkowska-Malina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(- udział w wykładach: 15 x 2 godz. = 30 godz., 
 - udział w konsultacjach: 6 x 1 godz. = 6 godz. (zakładamy, że student korzysta z co trzecich konsultacji), 
- przygotowanie do zaliczenia: 20 godz. 
- udział w kolokwium (zaliczenie) 2 x 2 godz =4 godz. 
Łączny nakład pracy studenta wynosi zatem 60 godz. co odpowiada 3 punktom ECTS.)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(- udział w wykładach: 15 x 2 =30 godz.
 -udział w konsultacjach 5 x 1 = 5 godz.(przyjmuje się, że student uczestniczy w co trzecich konsultacjach)
Nakład pracy związany z zajęciami wymagającymi bezpośredniego udziału nauczyciela wynosi zatem 35 godz.,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z przedmiotu Monitoring środowiska Student powinien posiadać wiedzę z przedmiotów: Podstawy gleboznawstwa,  Ochrona środowiska, Ekologia, Zagadnienia prawne w ochronie środowiska.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systemami kontroli i oceny jakości stanu środowiska przyrodniczego. Charakterystyka nadzwyczajnych zagrożeń środowiska w skali globalnej, kontynentalnej i lokalnej. Struktura i rola organizacyjna Państwowego Monitoringu Środowiska oraz Zintegrowanego monitoringu środowiska przyrodniczego.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systemu kontroli stanu środowiska przyrodniczego. Przedstawienie nadzwyczajnych naturalnych zagrożeń środowiska. Charakterystyka antropogenicznych zagrożeń środowiska w skali globalnej, kontynentalnej i lokalnej. Państwowa Inspekcja Ochrony Środowiska i jej rola w tworzeniu Monitoringu Środowiska. Struktura organizacyjna Państwowego Monitoringu Środowiska.
Podsystemy pomiarowo-kontrolne związane z przeciwdziałaniem nadzwyczajnym zagrożeniom środowiska. Monitoring stanu wód powierzchniowych (rzeki,  jeziora, wody przybrzeżne, wody zbiorników zaporowych). Monitoring stanu wód podziemnych. Monitoring Bałtyku. Monitoring powierzchni ziemi w tym gleb i odpadów. Monitoring powietrza atmosferycznego. Monitoring hałasu. Monitoring przyrody. Monitoring promieniowania jonizującego i pól elektromagnetycznych. Organizacja systemu informatycznego Państwowego Monitoringu Środowiska. Lokalne systemy monitoringu stanu środowiska. Zintegrowany monitoring środowiska przyrodniczego. 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w formie pisemnego testu otwartego.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Program Państwowego Monitoringu Środowiska na lata 2013-2015. Bib. Monit. Środowiska, PIOŚ-GIOŚ
Wniosek dotyczący Dyrektywy Parlamentu Europejskiego i Rady ustanawiająca ramy dla ochrony gleb oraz zmieniającej dyrektywę 2004/35/WE, Bruksela, 22.9.2006, KOM(2006) 232 wersja ostateczna, 2006/0086 (COD)
Kostrzewski A., Pawłowski L. (red.). Główne problemy monitoringu w Polsce. PAN „Człowiek a środowisko”. Zeszyty Naukowe 20, Politechnika Lubelska 1997
Kwiatkowska-Malina J. Monitoring środowiska przyrodniczego. Oficyna Wyd. PW, Warszawa 2012
Sikorska-Maykowska M., Krogulec E. Projektowanie monitoringu wód podziemnych i powierzchniowych dla obszarów chronionych. Współczesne problemy hydrogeologii, tom VIII. WIND, Wrocław, 1995
Ustawa - Prawo ochrony środowiska, (Dz.U.2001.100.1085, z późn. zm.)
Ustawa o planowaniu i zagospodarowaniu przestrzennym (Dz.U.2003.80.717)
Ustawa o odpadach (Dz.U.2001.62.628; tekst jednolity Dz.U.2007.39.251)
Ustawa o ochronie przyrody (Dz.U.2004.92.880)
Ustawa o ochronie gruntów rolnych i leśnych (tekst jedn. Dz.U. 2004.121.1266 z późn. Zm.). 
Ustawa o zapobieganiu szkodom w środowisku i ich naprawie (Dz.U.2007.75.493)
Ustawa o udostępnianiu informacji o środowisku i jego ochronie, udziale społeczeństwa w ochronie środowiska oraz o ocenach oddziaływania na środowisko (Dz.U.2008.199.1227).
Rozporządzenie Ministra Środowiska z dnia 9 września 2002 r. w sprawie standardów jakości gleby oraz standardów jakości ziemi (Dz.U. Nr 165, poz. 1359).
http://www.gios.gov.pl
http://www.wios.warszawa.pl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uporządkowaną, niezbędną wiedzę w zakresie systemów kontroli i oceny jakości stanu jakościowego i/lub ilościowego środowiska przyrodniczego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T2A_W08, P2A_W03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dotyczącą skali zagrożeń naturalnych i antropogenicznych środowiska przyrodniczego w Polsce i na świecie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T2A_W08, P2A_W03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ma wiedzę na temat struktury i funkcjonowania Państwowego Monitoringu Środowiska w Polsce, rozumie problemy wymagające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T2A_W08, P2A_W03</w:t>
      </w:r>
    </w:p>
    <w:p>
      <w:pPr>
        <w:keepNext w:val="1"/>
        <w:spacing w:after="10"/>
      </w:pPr>
      <w:r>
        <w:rPr>
          <w:b/>
          <w:bCs/>
        </w:rPr>
        <w:t xml:space="preserve">Efekt W4: </w:t>
      </w:r>
    </w:p>
    <w:p>
      <w:pPr/>
      <w:r>
        <w:rPr/>
        <w:t xml:space="preserve">ma wiedzę z zakresu przepisów dotyczących planowania przestrzennego i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pozyskiwać informacje ze specjalistycznej literatury, baz danych i innych źródeł;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określić cechy zasobów środowiska przyrodniczego mające wpływ na ich wartość w danej likalizacji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integrować pozyskane informacje w szczególności dotyczące stanu środowiska, dokonywać ich interpretacji, a także wyciągać wnioski oraz formułować i wyczerpująco uzasadniać opinie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biegle wykorzystuje literaturę specjalistyczną oraz inne opracowania w języku polskim,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P2A_U02</w:t>
      </w:r>
    </w:p>
    <w:p>
      <w:pPr>
        <w:keepNext w:val="1"/>
        <w:spacing w:after="10"/>
      </w:pPr>
      <w:r>
        <w:rPr>
          <w:b/>
          <w:bCs/>
        </w:rPr>
        <w:t xml:space="preserve">Efekt U5: </w:t>
      </w:r>
    </w:p>
    <w:p>
      <w:pPr/>
      <w:r>
        <w:rPr/>
        <w:t xml:space="preserve">czyta w języku angielskim ze zrozumieniem teksty naukowe oraz interpretuje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P2A_U02</w:t>
      </w:r>
    </w:p>
    <w:p>
      <w:pPr>
        <w:keepNext w:val="1"/>
        <w:spacing w:after="10"/>
      </w:pPr>
      <w:r>
        <w:rPr>
          <w:b/>
          <w:bCs/>
        </w:rPr>
        <w:t xml:space="preserve">Efekt U6: </w:t>
      </w:r>
    </w:p>
    <w:p>
      <w:pPr/>
      <w:r>
        <w:rPr/>
        <w:t xml:space="preserve">potrafi interpretować wyniki dotyczące monitoringu stanu środowiska przyrodniczego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P2A_U05</w:t>
      </w:r>
    </w:p>
    <w:p>
      <w:pPr>
        <w:keepNext w:val="1"/>
        <w:spacing w:after="10"/>
      </w:pPr>
      <w:r>
        <w:rPr>
          <w:b/>
          <w:bCs/>
        </w:rPr>
        <w:t xml:space="preserve">Efekt U7: </w:t>
      </w:r>
    </w:p>
    <w:p>
      <w:pPr/>
      <w:r>
        <w:rPr/>
        <w:t xml:space="preserve">potrafi  wskazać właściwe przeznaczenie obszaru  z wykorzystaniem informacji dotyczących stanu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P2A_U05</w:t>
      </w:r>
    </w:p>
    <w:p>
      <w:pPr>
        <w:keepNext w:val="1"/>
        <w:spacing w:after="10"/>
      </w:pPr>
      <w:r>
        <w:rPr>
          <w:b/>
          <w:bCs/>
        </w:rPr>
        <w:t xml:space="preserve">Efekt U8: </w:t>
      </w:r>
    </w:p>
    <w:p>
      <w:pPr/>
      <w:r>
        <w:rPr/>
        <w:t xml:space="preserve">potrafi integrować pozyskane informacje z różnych źródeł, dokonywać ich
interpretacji, a także wyciągać wnioski oraz formułować i uzasadniać opinie w zakresie stanu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współpracować i pracować w zespole o różnej specjalności i podejmować wspólne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potrafi przewidywać skutki swojej działalności związanej z interpretacją danych o stanie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p>
      <w:pPr>
        <w:keepNext w:val="1"/>
        <w:spacing w:after="10"/>
      </w:pPr>
      <w:r>
        <w:rPr>
          <w:b/>
          <w:bCs/>
        </w:rPr>
        <w:t xml:space="preserve">Efekt K3: </w:t>
      </w:r>
    </w:p>
    <w:p>
      <w:pPr/>
      <w:r>
        <w:rPr/>
        <w:t xml:space="preserve">potrafi przewidywać skutki swojej działalności i próbować niwelować ich znaczenie w odbiorze społecznym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2026-10-02T12:06:18+02:00</dcterms:created>
  <dcterms:modified xsi:type="dcterms:W3CDTF">2026-10-02T12:06:18+02:00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