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Iwanicki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GK.SIK718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uczestnictwo w wykładach - 30 godzin,
b) udział w konsultacjach - 5 godzin.
2) Praca własna studenta - 40 godzin, w tym:
a) przygotowanie do zajęć - 10 godzin,
b) przygotowanie do sprawdzianów - 30 godzin.
Razem 75 godzin - 3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punkta ECTS - 35 godzin, w tym:
a) uczestnictwo w wykładach - 30 godzin,
b) udział w konsultacjach - 5 godzin.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prawa cywilnego i administracyjnego, katastru nieruchomości oraz podstaw gospodarki gruntami na obszarach wiejskich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podstaw prawnych gospodarowania nieruchomościami Skarbu Państwa i jednostek samorządu terytorialnego, wywłaszczania nieruchomości oraz nabywania nieruchomości dla realizacji celów publicznych w trybie przepisów szczególnych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Kompetencje organów administracji publicznej w zakresie gospodarowania nieruchomościami. Zasoby nieruchomości. Cele publiczne w gospodarce nieruchomościami. 
Wywłaszczanie nieruchomości. Zwrot wywłaszczonych nieruchomości. Obrót nieruchomościami stanowiącymi własność Skarbu Państwa lub jednostek samorządu terytorialnego. Prawo pierwokupu nieruchomości. Pierwszeństwo nabycia nieruchomości. Podziały nieruchomości. Scalenie i podział nieruchomości. Opłaty adiacenckie. Nabywanie nieruchomości przez cudzoziemców. Uwłaszczenie osób prawnych. Przekształcenie prawa użytkowania wieczystego w prawo własności nieruchomości. Przepisy szczególne w gospodarce nieruchomościami.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w trakcie semestru, możliwość poprawiania jednego sprawdzianu.
Zaliczenie przedmiotu - ocena łączna - średnia arytmetyczna z dwóch pozytywnych ocen ze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Zofia Śmiałowska-Uberman – Kompendium wiedzy prawnej dla geodetów, Wyd. Gall 2003r. 2. Ryszard Hycner – Zagadnienia geodezyjno-prawne w gospodarce nieruchomościami – Wyd. Gall 2006r. 3. Tadeusz Woś – Wywłaszczenie i zwrot nieruchomości – Wyd. PWN 1998r. 4. Gerard Bieniek, Zenon Marmaj - Użytkowanie wieczyste w praktyce, problematyka prawna – ZCO 1999r. 5. Ustawa z dnia 21 sierpnia 1997r.o gospodarce nieruchomościami – Dz. U. z 2004r. nr 261, poz. 2603 z późn. zm. 6. Przepisy wykonawcze i standardy techniczne.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GK.SIK718_K01: </w:t>
      </w:r>
    </w:p>
    <w:p>
      <w:pPr/>
      <w:r>
        <w:rPr/>
        <w:t xml:space="preserve">rozumie potrzebę i zna możliwości ciągłego dokształcania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GK.SIK718_W01: </w:t>
      </w:r>
    </w:p>
    <w:p>
      <w:pPr/>
      <w:r>
        <w:rPr/>
        <w:t xml:space="preserve">ma podstawową wiedzę techniczną i prawną z zakresu gospodarki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K_W16,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T1A_W08, T1A_W05, T1A_W06, T1A_W07, T1A_W03, T1A_W08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GK.SIK718_U01: </w:t>
      </w:r>
    </w:p>
    <w:p>
      <w:pPr/>
      <w:r>
        <w:rPr/>
        <w:t xml:space="preserve">potrafi pracować indywidualnie i w zespole, potrafi korzystać z danych państwowego zasobu geodezyjnego i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K_U06, K_U17,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T1A_U13, T1A_U14, T1A_U16, T1A_U07, T1A_U11, T1A_U12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2026-10-21T16:49:40+02:00</dcterms:created>
  <dcterms:modified xsi:type="dcterms:W3CDTF">2026-10-21T16:49:40+02:00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