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(uczestnictwo w wykładach: 15 x 1 godz. = 15 godz., przygotowanie do zajęć projektowych - analiza opracowań: 15 x 1 godz. = 15 godz., uczestnictwo w zajęciach projektowych: 15 x 1 godz. = 15 godz., udział w konsultacjach: 3 x 2 godz. = 6 godz., dokończenie projektów: 3 x 5 godz. = 15 godz., przygotowanie do kolokwiów i uczestnictwo w kolokwiach: 2 x 10 godz. + 2 x 1 godz. = 22 godz. Łączny nakład pracy studenta wynosi 88 godz., co odpowiada 3 punktom ECTS.)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38 (uczestnictwo w wykładach: 15 x 1 godz. = 15 godz., uczestnictwo w zajęciach projektowych: 15 x 1 godz. = 15 godz., udział w konsultacjach: 3 x 2 godz. = 6 godz., uczestnictwo w kolokwiach: 2 godz. Łączny nakład pracy studenta wymagający bezpośredniego uczestnictwa nauczyciela akademickiego wynosi 38 godz., co odpowiada 1,5 punktu ECTS.)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(przygotowanie do zajęć projektowych - analiza opracowań: 15 x 1 godz. = 15 godz., dokończenie projektów: 3 x 5 godz. = 15 godz., przygotowanie do kolokwiów: 2 x 10 godz. = 20 godz. Łączny nakład pracy studenta wynosi 50 punktów, co 1,5 punktu ECTS.)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wybranego projektu realizowanego w ramach lokalnego programu rewitalizacji i opracowania własnej propozycji założeń do projektu rewitalizacji w danym mieście.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projektów rewitalizacji
2. Opracowanie wybranych elementów projektu rewitalizacji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75 %) i średnią arytmetyczną z wykonanych ćwiczeń projektowych (waga 25%), przy czym oba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delimitacji obszaru kryzysowego w mieście, rozumie potrzebę dizałań na rzecz wyprowadzenia obszaru i społęczności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rodzaje projektów rewitalzaicji w poszczególnych dziedzinach społecznych i ekonomicznych, oreintuje się w zasadach zarządzania projektami i ich finansowania nzych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partycypacji społecznej i rozumie ich rangę w dizałaniach rewitalizacyjnych rganziacyjne, finanoswe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harmonogram i założenia prac nad wybranym projektem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S01: </w:t>
      </w:r>
    </w:p>
    <w:p>
      <w:pPr/>
      <w:r>
        <w:rPr/>
        <w:t xml:space="preserve">ma świadomość standardu i kultury prowadzenia konsultacji społecznych w sprawach proponowanych inicjatyw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S03: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2026-08-19T22:26:43+02:00</dcterms:created>
  <dcterms:modified xsi:type="dcterms:W3CDTF">2026-08-19T22:26:43+02:00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