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OWM5_W01: </w:t>
      </w:r>
    </w:p>
    <w:p>
      <w:pPr/>
      <w:r>
        <w:rPr/>
        <w:t xml:space="preserve">wiedza z zagadnień szczegółowych z zakresu automatyki i robotyki oraz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OWM5_U01: </w:t>
      </w:r>
    </w:p>
    <w:p>
      <w:pPr/>
      <w:r>
        <w:rPr/>
        <w:t xml:space="preserve">Umie zdobywać wiedzę szczegłową z zakresu automatyki i robotyki oraz mechatroniki przekazywaną w trakcie wykładu obcojęzycznego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keepNext w:val="1"/>
        <w:spacing w:after="10"/>
      </w:pPr>
      <w:r>
        <w:rPr>
          <w:b/>
          <w:bCs/>
        </w:rPr>
        <w:t xml:space="preserve">Efekt OWM5_U02: </w:t>
      </w:r>
    </w:p>
    <w:p>
      <w:pPr/>
      <w:r>
        <w:rPr/>
        <w:t xml:space="preserve">Potrafi przygotować krótką prezentację obcojęzyczną z obszaru nauk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2026-09-12T00:07:21+02:00</dcterms:created>
  <dcterms:modified xsi:type="dcterms:W3CDTF">2026-09-12T00:07:21+02:00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