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ECTS: 
- wykład 13,
- ćwiczenia w laboratorium 25,
- zapoznanie z literaturą 20,
- przygotowanie do zajęć laboratoryjnych 15,
- rozwiązanie zadań domowych 30,
- przygotowanie do sprawdzianów 10,
- przygotowanie do egzaminu i obecność na nim 20.
RAZEM 133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Punkty ECTS: 
- wykład 13,
- ćwiczenia w laboratorium 25,
- przeprowadzenie 3 egzaminów 12.
RAZEM 50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Punkty ECTS: 
- ćwiczenia w laboratorium 25,
- przygotowanie do zajęć laboratoryjnych 15,
- rozwiązanie zadań domowych 30,
- przygotowanie do sprawdzianów 10,
RAZEM 80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Umiejętności zdobyte w ramach przedmiotu ułatwią szybkie przejście do programowania w Matlabie, językach skryptowych (np. Python czy PHP) oraz do nauki programowania zorientowanego obiektowo (w C++ i Javie).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ZAPInst_W02: </w:t>
      </w:r>
    </w:p>
    <w:p>
      <w:pPr/>
      <w:r>
        <w:rPr/>
        <w:t xml:space="preserve">Ma uporządkowaną wiedzę ogólną dotyczącą algorytmizacji prostych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2026-10-01T19:25:29+02:00</dcterms:created>
  <dcterms:modified xsi:type="dcterms:W3CDTF">2026-10-01T19:25:29+02:00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