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wykładów, 30 godzin laboratorium, 30 godzin na przygotowanie się do laboratorium, 30 godzin na przygotowanie się kolokwiów,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https://studia.elka.pw.edu.pl/priv/-/SKM.A/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SMK_W01: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keepNext w:val="1"/>
        <w:spacing w:after="10"/>
      </w:pPr>
      <w:r>
        <w:rPr>
          <w:b/>
          <w:bCs/>
        </w:rPr>
        <w:t xml:space="preserve">Efekt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SKM_K01: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SKM_K02: </w:t>
      </w:r>
    </w:p>
    <w:p>
      <w:pPr/>
      <w:r>
        <w:rPr/>
        <w:t xml:space="preserve">Potrafi pracować indywidualnie, w tym także potrafi zarządzać swoim czasem oraz podejmować zobowiązania i dotrzymywać terminów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2026-10-02T01:03:41+02:00</dcterms:created>
  <dcterms:modified xsi:type="dcterms:W3CDTF">2026-10-02T01:03:41+02:00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