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TP_W01: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T1A_U01, T1A_U03, T1_U07: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T1A_U09, T1A_U08, T1A_U09, T1A_U01, T1A_U15, T1A_U07, T1A_U09, T1A_U14</w:t>
      </w:r>
    </w:p>
    <w:p>
      <w:pPr>
        <w:pStyle w:val="Heading3"/>
      </w:pPr>
      <w:bookmarkStart w:id="4" w:name="_Toc4"/>
      <w:r>
        <w:t>Profil ogólnoakademicki - kompetencje społeczne</w:t>
      </w:r>
      <w:bookmarkEnd w:id="4"/>
    </w:p>
    <w:p>
      <w:pPr>
        <w:keepNext w:val="1"/>
        <w:spacing w:after="10"/>
      </w:pPr>
      <w:r>
        <w:rPr>
          <w:b/>
          <w:bCs/>
        </w:rPr>
        <w:t xml:space="preserve">Efekt T1A_K01, T1A_K02, T1A_K07: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2026-10-01T02:57:29+02:00</dcterms:created>
  <dcterms:modified xsi:type="dcterms:W3CDTF">2026-10-01T02:57:29+02:00</dcterms:modified>
</cp:coreProperties>
</file>

<file path=docProps/custom.xml><?xml version="1.0" encoding="utf-8"?>
<Properties xmlns="http://schemas.openxmlformats.org/officeDocument/2006/custom-properties" xmlns:vt="http://schemas.openxmlformats.org/officeDocument/2006/docPropsVTypes"/>
</file>