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zajęciach projektowych -  30 godz.;
b) udział w konsultacjach -  5 godz.
2. Praca własna studenta - 15 godzin, w tym:
a)  kończenie zadań poza zajęciami  -  5 godz.;
b)  zapoznanie się ze wskazaną literaturą  - 5 godz.;
c)  przygotowanie do zajęć i    kolokwiów  -   5 godz.
Razem - 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liczba godzin kontaktowych - 35, w tym:
a) udział w zajęciach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 dekompozycji obiektów 3D na elementy składowe i opracowywania strategii ich tworzenia, rozwiązywania wybranych zadań konstrukcyjnych, w tym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ML.NS655_W1: </w:t>
      </w:r>
    </w:p>
    <w:p>
      <w:pPr/>
      <w:r>
        <w:rPr/>
        <w:t xml:space="preserve">							Ma ugruntowaną i pogłębioną wiedzę na temat praktycznego stosowania zawansowanych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konstruowania, w tym: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tym: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2026-10-01T08:00:41+02:00</dcterms:created>
  <dcterms:modified xsi:type="dcterms:W3CDTF">2026-10-01T08:00:41+02:00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