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Komputerowa Analiza Przepływów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NK489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60, w tym:
a)	wykład – 15 – godz.
b)	laboratorium – 30 –godz.
c)	konsultacje – 15 godz.
Praca własna studenta – 45 godzin, w tym:
a)	25 godz. – przygotowywanie się do laboratoriów i wykładów,
b)	20 godz. – przygotowanie zadania obliczeniowego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2.4 ECTS, Liczba godzin kontaktowych: 60, w tym:
a)	wykład – 15 – godz.
b)	laboratorium – 30 –godz.
c)	konsultacje –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 - 70 godzin pracy studenta, w tym: 
a) udział w ćwiczeniach laboratoryjnych - 30 godzin;
b) przygotowywanie się do laboratorium i wykonanie zadania obliczeniowego- 40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na temat Równań Różniczkowych Cząstkowych, znajomość metod numerycznych, wiedza na temat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osób wykład, 12-osobowe grupy laboratoryjne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zaawansowanych metod symulacji równań ruchu płynów, poznanie zaawansowanych możliwości wykorzystania pakietów komercyjnych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Zagadnienie własne w zastosowaniu do metod numerycznych, metody iteracyjne rozwiązywania wielkich układów liniowych i nieliniowych (metoda wielu siatek), hiperboliczne układy równań różniczkowych cząstkowych i metody ich dyskretyzaji i rozwiązywania, nieliniowe równania hiperboliczne, symulacja przezpływów z falami uderzeniowymi, tw. Laxa i Godunowa.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metoda punktowa: 40% laboratorium, 60% 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Zalecana literatura: 1. Hirsch, Charles, Numerical computation of internal and external flows, 2007 2. Versteeg, Henk Kaarle, An introduction to computational fluid dynamics, 2007 Dodatkowe literatura: - Materiały na stronie http://c-cfd.meil.pw.edu.pl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http://c-cfd.meil.pw.edu.pl/ccfd/index.php?item=6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NK489_W1: </w:t>
      </w:r>
    </w:p>
    <w:p>
      <w:pPr/>
      <w:r>
        <w:rPr/>
        <w:t xml:space="preserve">							zna cechy zagadnienia na wartosci własne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NK489_W2: </w:t>
      </w:r>
    </w:p>
    <w:p>
      <w:pPr/>
      <w:r>
        <w:rPr/>
        <w:t xml:space="preserve">							zna sposoby rozwiązywania układów RRC typu hiperbolicznego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NK489_W3: </w:t>
      </w:r>
    </w:p>
    <w:p>
      <w:pPr/>
      <w:r>
        <w:rPr/>
        <w:t xml:space="preserve">							zna metody dyskretyzacji dla RRC typu hiperbolicznego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NK489_U1: </w:t>
      </w:r>
    </w:p>
    <w:p>
      <w:pPr/>
      <w:r>
        <w:rPr/>
        <w:t xml:space="preserve">							potrafi wykorzystując pakiety komercyjne rozwiązać złożone zagadnienia cieplno-przepływowe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MiBM2_U11, MiBM2_U13, MiBM2_U14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T2A_U10</w:t>
      </w:r>
    </w:p>
    <w:p>
      <w:pPr>
        <w:keepNext w:val="1"/>
        <w:spacing w:after="10"/>
      </w:pPr>
      <w:r>
        <w:rPr>
          <w:b/>
          <w:bCs/>
        </w:rPr>
        <w:t xml:space="preserve">Efekt NK489_U2: </w:t>
      </w:r>
    </w:p>
    <w:p>
      <w:pPr/>
      <w:r>
        <w:rPr/>
        <w:t xml:space="preserve">							potrafi zanalizować przydatność metody numerycznej do rozwiązania RRC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NK489_U3: </w:t>
      </w:r>
    </w:p>
    <w:p>
      <w:pPr/>
      <w:r>
        <w:rPr/>
        <w:t xml:space="preserve">							Potrafi wykorzystać programować zaawansowane funkcje pakietów komercyjnych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NK489_K1: </w:t>
      </w:r>
    </w:p>
    <w:p>
      <w:pPr/>
      <w:r>
        <w:rPr/>
        <w:t xml:space="preserve">														Ma świadomość konieczności ciągłego powiększania swoich kompetencji, szczególnie w zakresie wykorzystania komercyjnych programów symulacyjnych i  umiejętności krytycznej oceny uzyskanych wyników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MBiM2_K01, MBiM2_K06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2026-09-11T20:02:18+02:00</dcterms:created>
  <dcterms:modified xsi:type="dcterms:W3CDTF">2026-09-11T20:02:18+02:00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