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specjalistyczne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opiekunowie prac magisterskich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75 h, w tym:
a)	obecność na laboratorium  75 h,
2.	przygotowanie do laboratorium i przygotowanie sprawozdań 75 h
Razem nakład pracy studenta:  75 h, co odpowiada 7 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laboratorium  55 h,
2.	omawiane planu pracy i wyników 20  h 
Razem:105 h, co odpowiada 7 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	przygotowanie do laboratorium 35  h,
2.	opracowanie wyników, przygotowanie sprawozdań 40 h
Razem: 75  h, co odpowiada  7  punktom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75h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Biochemia, Enzymologia, Chemia Organiczna, Mikrobiologia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	Cel przedmiotu / modułu
Po ukończeniu kursu student powinien:
•	Znać metody ekspresji, izolacji, oczyszczania i analizy białek,
•	Znać zaawansowane metody pracy z mikroorganizmami,
•	Znać zastosowanie biokatalizatorów w stereoselektywnej syntezie związków o aktywności biologicznej ,
•	Znać metody wytwarzania i analizy sensorycznej oraz mikrobiologicznej form kosmetycznych 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wymagają szerokiego wykorzystania metod spektrofotometrycznych (UV, IR, NMR) i chromatograficznych (GC, HPLC z zastosowaniem kolumn chiralnych) do analizy otrzymywanych produktów. Tematyka ćwiczeń może być powiązana z tematem przyszłej pracy magisterskiej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opracowania zawierające informacje literaturowe
i opis wykonanych zadań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szczegółową wiedzę z zakresu biotransformacji i enzymologii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szczegółową wiedzę z zakresu modelowania bioprocesów, technik hodowli kultur komórkowych, technik rozdzielania oraz sterowania i regulacji procesów biotechnologicznych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 rozumie informacje z literatury, baz danych i innych źródeł także w języku angielskim lub innym języku obcym; potrafi interpretować uzyskane informacje, oraz oceniać ich rzetelność i wyciągać z nich wnioski, formułować i wyczerpująco uzasadniać opinie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T2A_U05, T2A_U10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umiejętność samodzielnego planowania i wykonywania badań eksperymentalnych, realizacji prostych zdań badawczych i przeprowadzenia ekspertyz pod opieką opiekuna naukowego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T2A_U05, T2A_U08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Posługuje się podstawowymi technikami laboratoryjnymi w zakresie biologii komórki, mikrobiologii, biochemii, enzymologii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potrzeby przestrzegania zasad etyki zawodowej, bioetyki i poszanowania prawa, w tym praw autorskich.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2025-06-16T23:42:58+02:00</dcterms:created>
  <dcterms:modified xsi:type="dcterms:W3CDTF">2025-06-16T23:42:58+02:00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