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Chemia analityczna 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Maciej Jarosz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Technologia Chemiczna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2014/2015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	godziny kontaktowe 15 h, w tym:
a)	wykład – 15 h,
2.	przygotowanie się do egzaminu i udział e egzaminie 40 h
Razem nakład pracy studenta: 55 h, co odpowiada 2 punktom ECTS.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1.	udział w wykładzie – 15 h
Razem: 15 h, co odpowiada 1 punktowi ECTS.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 ukończeniu kursu student powinien:
•	mieć ogólną wiedzę teoretyczną na temat podstaw i praktyki klasycznych metod oznaczania i rozdzielania stosowanych w nieorganicznej analizie chemicznej,
•	na podstawie materiałów źródłowych zapoznać się z samodzielnie z zagadnieniem,
•	rozumieć potrzebę dokształcania się i podnoszenia kompetencji.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Podstawy teoretyczne miareczkowych metod analitycznych: reakcje analityczne, równowagi kwasowo-zasadowe, pojęcie pH, roztwory buforowe, miareczkowania alkacymetryczne (krzywe miareczko-wania, punkty równoważnikowy i końcowy, metody wyznaczania punktu końcowego), rodzaje związków kompleksowych, czynniki determinujące trwałość kompleksów, stałe trwałości kompleksów, miareczkowania kompleksometryczne (krzywe miareczkowania, wskaźniki), iloczyn rozpuszczalności i rozpuszczalność, rodzaje miareczkowań strąceniowych, krzywe miareczkowania i metody wyznaczania punktu końcowego, podstawy elektrochemii (potencjał elektrod i potencjał redoks układu – metody wyznaczania, równanie Nernsta), miareczkowania redoksometryczne (stosowane układy redoks, wskaźniki). Podstawy analizy wagowej: tworzenie osadów i ich rodzaje, zjawiska towarzyszące, odczynniki strącające, metody strącania, techniki sączenia i końcowego przygotowania osadów do oznaczeń analitycznych; metody lotnościowe i elektrograwime-tryczne. Podstawy metod rozdzielania: równowagi ekstrakcyjne w układzie ciecz-ciecz, układy ekstrakcyjne, dobór odczynników ekstrakcyjnych i rozpuszczalników, technika pracy; strącanie z nośnikami; lotnościowe metody rozdzielania; metody chromatograficzne i pokrewne: charakterystyka metod chromato-graficznych i elektroforetycznych, zastosowania.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egzamin pisemny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ch.pw.edu.pl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W01: </w:t>
      </w:r>
    </w:p>
    <w:p>
      <w:pPr/>
      <w:r>
        <w:rPr/>
        <w:t xml:space="preserve">zna podstawowe rodzaje równowag występujących w roztworach wodnych w trakcie oznaczeń z użyciem klasycznych metod analitycznych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pisemny 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K_W03, K_W04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T1A_W03, T1A_W01, T1A_W03</w:t>
      </w:r>
    </w:p>
    <w:p>
      <w:pPr>
        <w:keepNext w:val="1"/>
        <w:spacing w:after="10"/>
      </w:pPr>
      <w:r>
        <w:rPr>
          <w:b/>
          <w:bCs/>
        </w:rPr>
        <w:t xml:space="preserve">Efekt W02: </w:t>
      </w:r>
    </w:p>
    <w:p>
      <w:pPr/>
      <w:r>
        <w:rPr/>
        <w:t xml:space="preserve">zna metody klasycznej analizy ilościowej i klasyczne metody rozdzielania stosowane w nieorganicznej chemii analitycznej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pisemny 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K_W04, K_W05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T1A_W03, T1A_W03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U01: </w:t>
      </w:r>
    </w:p>
    <w:p>
      <w:pPr/>
      <w:r>
        <w:rPr/>
        <w:t xml:space="preserve">potrafi opisać równowagi procesów, na których opierają się klasyczne metody rozdzielania substancji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pisemny 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K_U13 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T1A_U08</w:t>
      </w:r>
    </w:p>
    <w:p>
      <w:pPr>
        <w:keepNext w:val="1"/>
        <w:spacing w:after="10"/>
      </w:pPr>
      <w:r>
        <w:rPr>
          <w:b/>
          <w:bCs/>
        </w:rPr>
        <w:t xml:space="preserve">Efekt U02: </w:t>
      </w:r>
    </w:p>
    <w:p>
      <w:pPr/>
      <w:r>
        <w:rPr/>
        <w:t xml:space="preserve">potrafi zastosować formalny opis równowag występujących w roztworach do interpretacji wyników analiz miareczkowych i grawimetrycznych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pisemny 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K_U11 , K_U13 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T1A_U08, T1A_U08</w:t>
      </w:r>
    </w:p>
    <w:p>
      <w:pPr>
        <w:keepNext w:val="1"/>
        <w:spacing w:after="10"/>
      </w:pPr>
      <w:r>
        <w:rPr>
          <w:b/>
          <w:bCs/>
        </w:rPr>
        <w:t xml:space="preserve">Efekt U03: </w:t>
      </w:r>
    </w:p>
    <w:p>
      <w:pPr/>
      <w:r>
        <w:rPr/>
        <w:t xml:space="preserve">posiada umiejętność wyboru właściwej metodyki w zakresie analizy klasycznej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pisemny 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K_U01, K_U09, K_U17, K_U20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T1A_U01, T1A_U08, T1A_U09, InzA_U02, T1A_U11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K01: </w:t>
      </w:r>
    </w:p>
    <w:p>
      <w:pPr/>
      <w:r>
        <w:rPr/>
        <w:t xml:space="preserve">potrafi pracować samodzielnie rozszerzając wykładaną wiedzę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pisemny 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K_K02, K_K06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T1A_K01, T1A_K04, T1A_K05, T1A_K06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2026-10-21T17:14:53+02:00</dcterms:created>
  <dcterms:modified xsi:type="dcterms:W3CDTF">2026-10-21T17:14:53+02:00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