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Anna Borowska-Centkowska, dr inż. Marcin Małys, dr inż. Michał Marzantowicz, dr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110</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osiadać uporządkowaną wiedzę w zakresie mechaniki nierelatywistycznej, hydrostatyki, hydrodynamiki termodynamiki fenomenologicznej i statystycznej.</w:t>
      </w:r>
    </w:p>
    <w:p>
      <w:pPr>
        <w:keepNext w:val="1"/>
        <w:spacing w:after="10"/>
      </w:pPr>
      <w:r>
        <w:rPr>
          <w:b/>
          <w:bCs/>
        </w:rPr>
        <w:t xml:space="preserve">Treści kształcenia: </w:t>
      </w:r>
    </w:p>
    <w:p>
      <w:pPr>
        <w:spacing w:before="20" w:after="190"/>
      </w:pPr>
      <w:r>
        <w:rPr/>
        <w:t xml:space="preserve">W podziale na wykład:
(1)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2012.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2025-06-17T12:28:45+02:00</dcterms:created>
  <dcterms:modified xsi:type="dcterms:W3CDTF">2025-06-17T12:28:45+02:00</dcterms:modified>
</cp:coreProperties>
</file>

<file path=docProps/custom.xml><?xml version="1.0" encoding="utf-8"?>
<Properties xmlns="http://schemas.openxmlformats.org/officeDocument/2006/custom-properties" xmlns:vt="http://schemas.openxmlformats.org/officeDocument/2006/docPropsVTypes"/>
</file>