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przejściowa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prowadzący IPBM, IP, IMRC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521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1125h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mechaniki i wytrzymałości materiałów oraz postaw projektowania maszyn.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wykorzystania dotychczasowej wiedzy i umiejętności do projektowania złożonych obiektów lub procesów.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Tematyka pracy przejściowej powinna być powiązana z realizowanym kierunkiem studiów.
Powinna ona dotyczyć zagadnień ogólno-inżynierskich i stwarzać możliwości wykorzystania
dotychczas zdobytej wiedzy technicznej. 
Może obejmować projekt prostego urządzenia, systemu lub procesu, używając właściwych metod, technik i narzędzi z uwzględnieniem zastosowania odpowiednich materiałów i technologii wykonania. Wskazana jest rozszerzona analiza teoretyczna rozpatrywanych zagadnień. Celowa jest realizacja tematów prac we współpracy z jednostkami przemysłowymi lub badawczymi.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przedstawionego opracowania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2025-07-07T23:01:30+02:00</dcterms:created>
  <dcterms:modified xsi:type="dcterms:W3CDTF">2025-07-07T23:01:30+02:00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