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404</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 h; b) obecność na ćwiczeniach – 15 h;
2.	Zapoznanie się ze wskazaną literaturą – 27 h; 
3.	Przygotowania do zajęć -18h
4.	Przygotowania do kolokwium zaliczeniowego – 10h
Razem nakład pracy studenta: 30h+15h+27h+18h+10h=100h,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15 h; 
Razem: 30h+15h=45h, co odpowiada 2(1,8)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według zarządzenia Rektora</w:t>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Drgania wału korbowego wału korbowego silnika spalinowego. Opis ruchu układu ruchu korbowego i wymuszenia. Tłumienie drgań wału korbowego. 5. Nieswobodne układy służące do modelowania układów przeniesienia napędu. Opis tarcia suchego oraz więzów w układzie przeniesienia napędu, sprzęgła, hamulce, przeguby, przekładnie planetarne. 6. Analiza kinematyczna mechanizmów prowadzenia koła pojazdu względem nadwozia (ramy wózka). 7. Wybrane problemy teorii zderzenia ciał nieodkształcalnych. Opis zderzenia dwóch ciał traktowanych jako modele pojazdów. 8. Modelowanie aktywnych lub pół aktywnych podukładów stosowanych w zawieszeniach pojazdów lub układach przeniesienia napędu i hamowania. 9. Komputerowe systemy wspomagające modelowanie i symulacyjne badania ruchu pojazdu. </w:t>
      </w:r>
    </w:p>
    <w:p>
      <w:pPr>
        <w:keepNext w:val="1"/>
        <w:spacing w:after="10"/>
      </w:pPr>
      <w:r>
        <w:rPr>
          <w:b/>
          <w:bCs/>
        </w:rPr>
        <w:t xml:space="preserve">Metody oceny: </w:t>
      </w:r>
    </w:p>
    <w:p>
      <w:pPr>
        <w:spacing w:before="20" w:after="190"/>
      </w:pPr>
      <w:r>
        <w:rPr/>
        <w:t xml:space="preserve">dwa kolokwia lub semestralne prace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2026-09-30T22:03:54+02:00</dcterms:created>
  <dcterms:modified xsi:type="dcterms:W3CDTF">2026-09-30T22:03:54+02:00</dcterms:modified>
</cp:coreProperties>
</file>

<file path=docProps/custom.xml><?xml version="1.0" encoding="utf-8"?>
<Properties xmlns="http://schemas.openxmlformats.org/officeDocument/2006/custom-properties" xmlns:vt="http://schemas.openxmlformats.org/officeDocument/2006/docPropsVTypes"/>
</file>