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genetyczne i sieci neuronowe</w:t>
      </w:r>
    </w:p>
    <w:p>
      <w:pPr>
        <w:keepNext w:val="1"/>
        <w:spacing w:after="10"/>
      </w:pPr>
      <w:r>
        <w:rPr>
          <w:b/>
          <w:bCs/>
        </w:rPr>
        <w:t xml:space="preserve">Koordynator przedmiotu: </w:t>
      </w:r>
    </w:p>
    <w:p>
      <w:pPr>
        <w:spacing w:before="20" w:after="190"/>
      </w:pPr>
      <w:r>
        <w:rPr/>
        <w:t xml:space="preserve">prof. dr hab. inż. Jacek Dybała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512</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Studia stacjonarne: Łącznie 75 godzin, w tym 30 godzin wykładów, 15 godzin zajęć laboratoryjnych, 10 godzin studiów literaturowych, 10 godzin przygotowania do zajęć laboratoryjnych i 10 godzin przygotowania do egzaminu.
Studia niestacjonarne: Łącznie 75 godzin, w tym 20 godzin wykładów, 10 godzin zajęć laboratoryjnych, 25 godzin studiów literaturowych, 10 godzin przygotowania do zajęć laboratoryjnych i 10 godzin przygotowania do egzaminu.
</w:t>
      </w:r>
    </w:p>
    <w:p>
      <w:pPr>
        <w:keepNext w:val="1"/>
        <w:spacing w:after="10"/>
      </w:pPr>
      <w:r>
        <w:rPr>
          <w:b/>
          <w:bCs/>
        </w:rPr>
        <w:t xml:space="preserve">Liczba punktów ECTS na zajęciach wymagających bezpośredniego udziału nauczycieli akademickich: </w:t>
      </w:r>
    </w:p>
    <w:p>
      <w:pPr>
        <w:spacing w:before="20" w:after="190"/>
      </w:pPr>
      <w:r>
        <w:rPr/>
        <w:t xml:space="preserve">Studia stacjonarne: 1,8
Studia niestacjonarne: 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studentów z metodami rozwiązywania zadań inżynierskich i problemów badawczych z wykorzystaniem algorytmów genetycznych i sieci neuronowych. Nauczenie studentów wykorzystania oprogramowania do symulacji działania algorytmów genetycznych i sieci neuronowych.</w:t>
      </w:r>
    </w:p>
    <w:p>
      <w:pPr>
        <w:keepNext w:val="1"/>
        <w:spacing w:after="10"/>
      </w:pPr>
      <w:r>
        <w:rPr>
          <w:b/>
          <w:bCs/>
        </w:rPr>
        <w:t xml:space="preserve">Treści kształcenia: </w:t>
      </w:r>
    </w:p>
    <w:p>
      <w:pPr>
        <w:spacing w:before="20" w:after="190"/>
      </w:pPr>
      <w:r>
        <w:rPr/>
        <w:t xml:space="preserve">Wykład (studia stacjonarne):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Gradientowe algorytmy uczenia perceptronów wielowarstwowych. Problemy praktyczne stosowania perceptronów wielowarstwowych. Hybrydowe sieci neuronowe. Sieci neuronowe SVM (Support Vector Machine). Wstępne przetwarzanie danych wejściowych sieci neuronowej. Ekstrakcja i selekcja danych.
Wykład (studia niestacjonarne):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Hybrydowe sieci neuronowe. Sieci neuronowe SVM (Support Vector Machine).
Laboratorium (studia stacjonarne):
1. Wprowadzenie w środowisko Matlab. Wprowadzenie do Przybornika Globalnej Optymalizacji (Global Optimization Toolbox) i Przybornika Sieci Neuronowych (Neural Network Toolbox) środowiska Matlab.
2. Algorytmy genetyczne w zadaniach optymalizacji.
3. Optymalizacja z ograniczeniami z wykorzystaniem algorytmów genetycznych.
4. Optymalne wymiarowanie konstrukcji za pomocą algorytmu genetycznego.
5. Perceptrony wielowarstwowe w zadaniach klasyfikacji i aproksymacji.
6. Przetwarzanie sygnałów z wykorzystaniem sieci neuronowych.
Laboratorium (studia niestacjonarne):
1. Algorytmy genetyczne w zadaniach optymalizacji bez ograniczeń i z ograniczeniami.
2. Optymalne wymiarowanie konstrukcji za pomocą algorytmu genetycznego.
3. Perceptrony wielowarstwowe w zadaniach klasyfikacji i aproksymacji.
4. Przetwarzanie sygnałów z wykorzystaniem sieci neuronowych.
</w:t>
      </w:r>
    </w:p>
    <w:p>
      <w:pPr>
        <w:keepNext w:val="1"/>
        <w:spacing w:after="10"/>
      </w:pPr>
      <w:r>
        <w:rPr>
          <w:b/>
          <w:bCs/>
        </w:rPr>
        <w:t xml:space="preserve">Metody oceny: </w:t>
      </w:r>
    </w:p>
    <w:p>
      <w:pPr>
        <w:spacing w:before="20" w:after="190"/>
      </w:pPr>
      <w:r>
        <w:rPr/>
        <w:t xml:space="preserve">Ocena z egzaminu i ocena końcowa z laboratorium tworzą ocenę końcową z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Osowski, Sieci neuronowe do przetwarzania informacji. Oficyna Wydawnicza Politechniki Warszawskiej, Warszawa, 2006.
[2] W. Duch, J. Korbicz, L. Rutkowski, R. Tadeusiewicz /red./, Sieci neuronowe. Akademicka Oficyna Wydawnicza EXIT, Warszawa, 2000.
[3] S. Osowski, Sieci neuronowe w ujęciu algorytmicznym. Wydawnictwa Naukowo-Techniczne, Warszawa, 1996.
[4] S. Osowski, Sieci neuronowe. Oficyna Wydawnicza Politechniki Warszawskiej, Warszawa, 1994.
[5] R. Tadeusiewicz, Sieci neuronowe. Akademicka Oficyna Wydawnicza RM, Warszawa, 1993. http://winntbg.bg.agh.edu.pl/skrypty/0001/
[6] J. Arabas, Wykłady z algorytmów genetycznych. Wydawnictwa Naukowo-Techniczne, Warszawa, 2004.
[7] Z. Michalewicz, Algorytmy genetyczne + struktury danych = programy ewolucyjne. Wydawnictwa Naukowo-Techniczne, Warszawa, 1996.
[8] D. Rutkowska, M. Piliński, L. Rutkowski, Sieci neuronowe, algorytmy genetyczne i systemy rozmyte. Wydawnictwo Naukowe PWN, Warszawa-Łódź, 1997.
[9] L. Rutkowski, Metody i techniki sztucznej inteligencji. Wydawnictwo Naukowe PWN, Warszawa, 2009.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2026-08-18T20:02:54+02:00</dcterms:created>
  <dcterms:modified xsi:type="dcterms:W3CDTF">2026-08-18T20:02:54+02:00</dcterms:modified>
</cp:coreProperties>
</file>

<file path=docProps/custom.xml><?xml version="1.0" encoding="utf-8"?>
<Properties xmlns="http://schemas.openxmlformats.org/officeDocument/2006/custom-properties" xmlns:vt="http://schemas.openxmlformats.org/officeDocument/2006/docPropsVTypes"/>
</file>