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122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w zakresie elektryczności i magnetyzmu, fal elektromagnetycznych oraz mechaniki relatywistycznej. Posiada umiejętność pozyskiwania z literatury i innych dostępnych źródeł wiadomości na temat zjawisk fizycznych z zakresu wymaganej wiedzy fizycznej oraz metod ich opisu fizycznego i matematycznego.</w:t>
      </w:r>
    </w:p>
    <w:p>
      <w:pPr>
        <w:keepNext w:val="1"/>
        <w:spacing w:after="10"/>
      </w:pPr>
      <w:r>
        <w:rPr>
          <w:b/>
          <w:bCs/>
        </w:rPr>
        <w:t xml:space="preserve">Treści kształcenia: </w:t>
      </w:r>
    </w:p>
    <w:p>
      <w:pPr>
        <w:spacing w:before="20" w:after="190"/>
      </w:pPr>
      <w:r>
        <w:rPr/>
        <w:t xml:space="preserve">W podziale na wykład: 
(1)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elektromagnetyczne,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2026-09-30T18:32:33+02:00</dcterms:created>
  <dcterms:modified xsi:type="dcterms:W3CDTF">2026-09-30T18:32:33+02:00</dcterms:modified>
</cp:coreProperties>
</file>

<file path=docProps/custom.xml><?xml version="1.0" encoding="utf-8"?>
<Properties xmlns="http://schemas.openxmlformats.org/officeDocument/2006/custom-properties" xmlns:vt="http://schemas.openxmlformats.org/officeDocument/2006/docPropsVTypes"/>
</file>