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osiadać uporządkowaną wiedzę w zakresie mechaniki nierelatywistycznej, hydrostatyki, hydrodynamiki termodynamiki fenomenologicznej i statystycznej.</w:t>
      </w:r>
    </w:p>
    <w:p>
      <w:pPr>
        <w:keepNext w:val="1"/>
        <w:spacing w:after="10"/>
      </w:pPr>
      <w:r>
        <w:rPr>
          <w:b/>
          <w:bCs/>
        </w:rPr>
        <w:t xml:space="preserve">Treści kształcenia: </w:t>
      </w:r>
    </w:p>
    <w:p>
      <w:pPr>
        <w:spacing w:before="20" w:after="190"/>
      </w:pPr>
      <w:r>
        <w:rPr/>
        <w:t xml:space="preserve">W podziale na wykład:
(1)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2026-10-07T13:57:51+02:00</dcterms:created>
  <dcterms:modified xsi:type="dcterms:W3CDTF">2026-10-07T13:57:51+02:00</dcterms:modified>
</cp:coreProperties>
</file>

<file path=docProps/custom.xml><?xml version="1.0" encoding="utf-8"?>
<Properties xmlns="http://schemas.openxmlformats.org/officeDocument/2006/custom-properties" xmlns:vt="http://schemas.openxmlformats.org/officeDocument/2006/docPropsVTypes"/>
</file>