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OWM3_W01: </w:t>
      </w:r>
    </w:p>
    <w:p>
      <w:pPr/>
      <w:r>
        <w:rPr/>
        <w:t xml:space="preserve">Ma wiedzę z zagadnień szczegółowych z zakresu automatyki i robotyki oraz mechatroniki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OWM3_U01: </w:t>
      </w:r>
    </w:p>
    <w:p>
      <w:pPr/>
      <w:r>
        <w:rPr/>
        <w:t xml:space="preserve">Potrafi wykonać zadanie projektowe z zakresu automatyki i robotyki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K_U14,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T2A_U07, T2A_U19, T2A_U14, T2A_U17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2025-07-07T08:25:15+02:00</dcterms:created>
  <dcterms:modified xsi:type="dcterms:W3CDTF">2025-07-07T08:25:15+02:00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