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w tym:
•	Wykład 45 godz.
•	Ćwiczenia 15 godz.
•	Konsultacje – 2 godz.
•	Egzamin – 2 godz,
2) Praca własna studenta: 65 godz.
•	Studia literaturowe, samodzielne rozwiązywanie zadań – 30 godz.
•	Przygotowanie się do kolokwiów – 20 godz.
•	Przygotowanie się do egzaminu – 15 godz.
Razem : 129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w tym:
•	Wykład 45 godz.
•	Ćwiczenia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PA_U03: </w:t>
      </w:r>
    </w:p>
    <w:p>
      <w:pPr/>
      <w:r>
        <w:rPr/>
        <w:t xml:space="preserve">Potrafi zaprojektować układy regulacji o typowej strukturze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2026-10-21T15:56:05+02:00</dcterms:created>
  <dcterms:modified xsi:type="dcterms:W3CDTF">2026-10-21T15:56:05+02:00</dcterms:modified>
</cp:coreProperties>
</file>

<file path=docProps/custom.xml><?xml version="1.0" encoding="utf-8"?>
<Properties xmlns="http://schemas.openxmlformats.org/officeDocument/2006/custom-properties" xmlns:vt="http://schemas.openxmlformats.org/officeDocument/2006/docPropsVTypes"/>
</file>