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Błażej Kabziński, mgr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 godz., w tym:
•	wykład 15 godz.
•	konsultacje – 3 godz.
•	egzamin – 2 godz.
2) Praca własna studenta - 
•	 przygotowanie do egzaminu: 15 godz.
•	analiza źródeł, kwerenda literatury 15 godz.
 Razem – 50 godz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20 godz., w tym:
•	wykład 15 godz.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Skanery do materiałów transparentnych i refleksyjnych. 
Urządzenia identyfikacji biometrycznej.
Cyfrowe kamery wideo – rozwiązania amatorskie i profesjonalne.  Kamery  CCTV i specjalne (internetowe, miniaturowe itd.). Stosowane przetworniki. Nośniki.
Magnetyczny zapis informacji. 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zróżnicowanie barwników stosowanych w drukarkach, cechy  papierów
Profil barwny urządzenia. Zarządzenie profilami. Wyznaczanie wspólnych profili barwnych dla skanera, drukarki, monitora i rzutnika. Wyposażenie sal konferencyjnych (także tablice interaktywne). Systemy wideokonferencji. 
Klawiatury, urządzenia sterowania kursorem (myszy, tablety graficzne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UMD_W01: </w:t>
      </w:r>
    </w:p>
    <w:p>
      <w:pPr/>
      <w:r>
        <w:rPr/>
        <w:t xml:space="preserve">Absolwent zna i rozumie budowę i działanie zespołów urządzeń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2026-10-21T14:52:33+02:00</dcterms:created>
  <dcterms:modified xsi:type="dcterms:W3CDTF">2026-10-21T14:52:33+02:00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