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dydaktycznych – 15 godz. ćwiczeń w laboratorium.
2) Praca własna studenta -  15 godz. w tym:  przygotowanie do zajęć laboratoryjnych 5 godz., zapoznanie z literaturą 5  godz, opracowanie zadań domowych 5 godz.
RAZEM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 
•	obecność w laboratorium 15 godz.,
•	przygotowanie do zajęć laboratoryjnych 5 godz.
•	opracowanie zadań domowych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keepNext w:val="1"/>
        <w:spacing w:after="10"/>
      </w:pPr>
      <w:r>
        <w:rPr>
          <w:b/>
          <w:bCs/>
        </w:rPr>
        <w:t xml:space="preserve">Efekt TMPII_W03: </w:t>
      </w:r>
    </w:p>
    <w:p>
      <w:pPr/>
      <w:r>
        <w:rPr/>
        <w:t xml:space="preserve">Posida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TMPII_U01: </w:t>
      </w:r>
    </w:p>
    <w:p>
      <w:pPr/>
      <w:r>
        <w:rPr/>
        <w:t xml:space="preserve">Potrafi zaprojektować, sprawdzić  i uruchomić w układzie mikropocesorowym algorytm sterowania pracą aktuatora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TMPII_U02: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2026-09-30T19:29:23+02:00</dcterms:created>
  <dcterms:modified xsi:type="dcterms:W3CDTF">2026-09-30T19:29:23+02:00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