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 (wykład) + 2h (kons. grupowe) + 1h (kons. indywidualne) + 36h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							posiada wiedzę z zakresu marketingu międzynarodowego, pozwalającą stosować koncepcje nowoczesnego marketingu na arenie międzynarodowej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							posiada wiedzę umożliwiającą  na usytuowanie działalności organizacji na arenie międzynarodowej, regionalnej oraz globalnej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							posiada wiedzę na temat teorii Sustainability i jej wpływu na tworzenie się nowego odpowiedzialnego marketingu (Sustainable marketing)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							potrafi, na podstawie analizy marketingowej rynków międzynarodowych, określić ich segmenty i jak się na nich spozycjonować poprzez rozwój produktów czy usług, które zaspokajają potrzeby wybranych segmentów docelowych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							potrafi przygotować zróżnicowaną kompozycję marketingową (marketing mix) w ujęciu globalnym, uwzględniającą różnice lokalne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							posiada umiejętności wykorzystania wiedzy dla budowy i realizacji strategii marketingowej na rynkach międzynarodowych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INTIMA_U04: </w:t>
      </w:r>
    </w:p>
    <w:p>
      <w:pPr/>
      <w:r>
        <w:rPr/>
        <w:t xml:space="preserve">							posługuje się językiem angielskim w stopniu pozwalającym na porozumienie się, przeczytanie  tekstu ze zrozumieniem.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							posiada umiejętności społeczne pozwalające na poruszanie się w zróżnicowanej społeczności międzynarodowej, rozumiejąc znaczenie różnic kulturowych w rozwoju gospodarki globalnej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2026-05-28T21:43:43+02:00</dcterms:created>
  <dcterms:modified xsi:type="dcterms:W3CDTF">2026-05-28T21:43:43+02:00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