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Anna Borkowska,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w:t>
      </w:r>
    </w:p>
    <w:p>
      <w:pPr>
        <w:keepNext w:val="1"/>
        <w:spacing w:after="10"/>
      </w:pPr>
      <w:r>
        <w:rPr>
          <w:b/>
          <w:bCs/>
        </w:rPr>
        <w:t xml:space="preserve">Treści kształcenia: </w:t>
      </w:r>
    </w:p>
    <w:p>
      <w:pPr>
        <w:spacing w:before="20" w:after="190"/>
      </w:pPr>
      <w:r>
        <w:rPr/>
        <w:t xml:space="preserve">Semestr III
Tematyka:
- języki obce: sposoby uczenia się, wielojęzyczność,
- życie rodzinne:  stopnie pokrewieństwa, wzajemne relacje,
- wolny czas, aktywne formy wypoczynku,
- mass media, nowoczesne technologie informacyjne,
- życie kulturalne: kino, teatr, filharmonia,
- kulinaria: kuchnia niemiecka/polska,  nawyki żywieniowe, zdrowy styl życia,
- życie w mieście/na wsi: pozytywy, negatywy
Zagadnienia gramatyczne:
- odmiana czasownika (powtórzenie): czasowniki nieregularne, rozdzielnie/nierozdzielnie złożone, modalne, tryb rozkazujący,
- czasy przeszłe: Perfekt, Imperfekt,
- czasowniki wymagające dopełnienia w odpowiednim przypadku, rekcja czasownika,
- zdanie złożone współrzędnie, szyk zdania prosty/przestawny
- zdanie dopełnieniowe i zdanie pytające zależne: spójniki dass, ob,
- zdanie okolicznikowe przyczyny: spójniki weil, da, denn
- odmiana rzeczownika: mocna, słaba, nieregularna/mieszana,
-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niemieckim,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(niemieckojęzyczne serwisy informacyjne, wybrane strony niemieckojęzyczne w Internecie).  Anali</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2026-10-03T05:00:56+02:00</dcterms:created>
  <dcterms:modified xsi:type="dcterms:W3CDTF">2026-10-03T05:00:56+02:00</dcterms:modified>
</cp:coreProperties>
</file>

<file path=docProps/custom.xml><?xml version="1.0" encoding="utf-8"?>
<Properties xmlns="http://schemas.openxmlformats.org/officeDocument/2006/custom-properties" xmlns:vt="http://schemas.openxmlformats.org/officeDocument/2006/docPropsVTypes"/>
</file>