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+ 20h (zapoznanie się z literaturą przedmiotu) + 30h (opracowanie zadań z ćwiczeń) + 20h (przygotowanie do pracy całościowej z ćwiczeń) + 10h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14h (ćwiczenia) + 30h (opracowanie zadań z ćwiczeń) + 20h (przygotowanie do pracy całościowej z ćwiczeń)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finansowych,
- potrafił zaewidencjonować podstawowe operacje gospodarcze na kontach księgowych, opracować zestawienie obrotów sald, bilans, rachunek wyników i rachunek przepływów pieniężnych oraz potrafił wykorzystać instrumenty rachunkowości w zarządzaniu,
- uświadomił sobie wartości poznawcze rachunkowości; rozumiał, że przepisy podlegają zmianom i należy je obserwować oraz przestrzegać norm 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finansowych. 5) Rachunek przepływów pieniężnych. Sporządzanie bilansu zmian, bilansu źródeł i wykorzystania środków pieniężnych; konstruowanie rachunku przepływów pieniężnych.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ma uporządkowaną wiedzę o systemie informacyjnym rachunkowości finansowej; zna zasady rachunkowości i warunki prowadzenia ksiąg rachunkowych; ma usystematyzowaną wiedzę o poszczególnych kategoriach ekonomicznych rachunkowości i tworzeniu sprawozdawczości finansowej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wie, że zasady i przepisy rachunkowości finansowej podlegają zmianom, które należy obserwować i dostosowywać do skutecznego zarządzania jednostką gospodarczą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ocena merytoryczna w trakcie zajęć wykładowych i ćwiczeniowych: </w:t>
      </w:r>
    </w:p>
    <w:p>
      <w:pPr/>
      <w:r>
        <w:rPr/>
        <w:t xml:space="preserve">wie, że przy formułowaniu założeń i wniosków w rachunkowości finansowej, należy przestrzegać norm etycznych i działać elastycznie w granicach obowiązującego prawa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RAFIN_K02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			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2026-10-21T15:05:48+02:00</dcterms:created>
  <dcterms:modified xsi:type="dcterms:W3CDTF">2026-10-21T15:05:48+02:00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