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 h (wykłady) + 1h (konsultacje)+ 24h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42h (wykłady) + 1h (konsultacje)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ma wiedze z zakresu prawa działalności gospodarczej, podmiotów działalności gospodarczej, prawa ubezpieczeń gospodarczych, prawa upadłościowego, postępowania układowego, umów w obrocie gospodarczym, odpowiedzialności cywilnej w prawie gospodarczym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rozumie istotę i funkcję podstawowych instytucji prawa gospodarczego i potrafi posługiwać się instrumentami prawa gospodarczego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k_U28, 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pisemne i opracowania tworzone w trakcie zajęć: </w:t>
      </w:r>
    </w:p>
    <w:p>
      <w:pPr/>
      <w:r>
        <w:rPr/>
        <w:t xml:space="preserve">docenia konieczność ciągłego uzupełniania wiedzy prawnej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PRAGO_K01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2026-09-30T17:30:47+02:00</dcterms:created>
  <dcterms:modified xsi:type="dcterms:W3CDTF">2026-09-30T17:30:47+02:00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