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 h (wykłady) + 1h (konsultacje)+ 24h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42h (wykłady) + 1h (konsultacje)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ma wiedze z zakresu prawa działalności gospodarczej, podmiotów działalności gospodarczej, prawa ubezpieczeń gospodarczych, prawa upadłościowego, postępowania układowego, umów w obrocie gospodarczym, odpowiedzialności cywilnej w prawie gospodarczym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rozumie istotę i funkcję podstawowych instytucji prawa gospodarczego i potrafi posługiwać się instrumentami prawa gospodarczego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k_U28, 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i opracowania tworzone w trakcie zajęć: </w:t>
      </w:r>
    </w:p>
    <w:p>
      <w:pPr/>
      <w:r>
        <w:rPr/>
        <w:t xml:space="preserve">docenia konieczność ciągłego uzupełniania wiedzy prawnej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PRAGO_K01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2025-11-01T21:46:25+01:00</dcterms:created>
  <dcterms:modified xsi:type="dcterms:W3CDTF">2025-11-01T21:46:25+01:00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