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kontakty towarzyskie, zasady dobrego wychowania (savoir-vivre),
- różnice pokoleniowe,  czasy minione/współczesne,
- analiza wybranych fragmentów literackich,
- przygotowanie drzewa genealogicznego swojej rodziny, prezentacja,
- kolokwium (esej),
- niemieckie regiony, aglomeracje,
- Zagłębie Ruhry, fragment filmu DVD, ćwiczenia leksykalne, rozumienie tekstu słuchanego,
Prezentacja wybranego regionu/miasta niemieckiego,
- kolokwium gramatyczno-leksykalne,
- migracje, historia, przyczyny,
- współczesne przykłady migracji ludności, dyskusja,
problemy imigrantów, doświadczenia przyjaciół, znajomych, rodziny,
Europa, polityka europejska,
Opracowanie słownictwa z dziedziny polityki na podstawie artykułów prasowych
-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2026-10-03T03:22:37+02:00</dcterms:created>
  <dcterms:modified xsi:type="dcterms:W3CDTF">2026-10-03T03:22:37+02:00</dcterms:modified>
</cp:coreProperties>
</file>

<file path=docProps/custom.xml><?xml version="1.0" encoding="utf-8"?>
<Properties xmlns="http://schemas.openxmlformats.org/officeDocument/2006/custom-properties" xmlns:vt="http://schemas.openxmlformats.org/officeDocument/2006/docPropsVTypes"/>
</file>