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CN2A_10</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zapozananie ze wskazaną literaturą - 15, przygotowanie do egzaminu - 30; Razem - 75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Pisemny egzamin opisowy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Pisemny egzamin opisowy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Posiada wiedzę na temat możliwości zmniejszenia emisji zanieczyszczeń do środowiska dzięki zastosowaniu odpowiednich katalizatorów i procesów katalitycznych.</w:t>
      </w:r>
    </w:p>
    <w:p>
      <w:pPr>
        <w:spacing w:before="60"/>
      </w:pPr>
      <w:r>
        <w:rPr/>
        <w:t xml:space="preserve">Weryfikacja: </w:t>
      </w:r>
    </w:p>
    <w:p>
      <w:pPr>
        <w:spacing w:before="20" w:after="190"/>
      </w:pPr>
      <w:r>
        <w:rPr/>
        <w:t xml:space="preserve">Pisemny egzamin opisowy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Potrafi zaproponować odpowiednie procesy katalityczne w celu zmniejszenia ilości powstających w procesie produkcyjnym produktów ubocznych oraz odpadów szkodliwych dla środowiska.</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2026-10-03T00:08:25+02:00</dcterms:created>
  <dcterms:modified xsi:type="dcterms:W3CDTF">2026-10-03T00:08:25+02:00</dcterms:modified>
</cp:coreProperties>
</file>

<file path=docProps/custom.xml><?xml version="1.0" encoding="utf-8"?>
<Properties xmlns="http://schemas.openxmlformats.org/officeDocument/2006/custom-properties" xmlns:vt="http://schemas.openxmlformats.org/officeDocument/2006/docPropsVTypes"/>
</file>