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produktami chemicznymi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Aneta Lorek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CS1A_21/01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wiedzy, umiejętności ikompetencji spolecznych z zakresu bezpiecznego stosowania, przechowywania i transportu chemikaliów.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Źródła prawa w zakresie zarządzania substancjami chemicznymi W2 - Karty charakterystyk substancji niebezpiecznych. W3 - Transport substancji i preparatów chemicznych. W4 - Magazynowanie substancji chemicznych (niebezpiecznych) W5 - Oznakowania substancji chemicznych.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zajęć dydaktycznych przewiduje się dwa kolokwia sprawdzające. Z każdego kolokwium sprawdzającego można uzyskać do 20 pkt, przy czym do zaliczenia wymaga się uzyskanie minimum 11 pkt. Łącznie w ramach przedmiotu można uzyskać maksymalnie 40 pkt. Przewiduje się jedno kolokwium poprawkowe. Z kolokwium poprawkowego można uzyskać maksymalnie 40 pkt, przy czym do zaliczenia wymaga się uzyskanie minimum 22 pkt. Przeliczenie sumy punktów na ocenę końcową odbywa się następująco: &lt; 21 - 2,0 (niedostateczny); 21 - 25 - 3,0 (dostateczny); 26 - 30 - 3,5 (dość dobry); 31 - 35 - 4,0 (dobry); 35 - 37 - 4,5 (ponad dobry); 38 - 40 - 5,0 (bardzo dobry). Kolokwia są pisemne.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Bukowski Z., Prawo ochrony środowiska Unii Europejskiej, wyd. I, Warszawa, 2007 2. Rozporządzenie WE REACH, 3. Umowa ADR, 4. Dzienniki Ustaw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W09_02: </w:t>
      </w:r>
    </w:p>
    <w:p>
      <w:pPr/>
      <w:r>
        <w:rPr/>
        <w:t xml:space="preserve">Ma wiedzę w zakresie bezpiecznego stosowania substancji niebezpiecznych oraz ich magazynowania i transportu. Zna symbole i zwroty stosowane do oznaczania substancji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 informacji literaturowych, baz danych oraz innych źródeł na temat stosowania, wprowadzania do obrotu oraz transportu produktów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zakresie bezpiecznej pracy z substancjami niebezpiecznymi.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korzystać  z kart charakterystyki substancji niebezpiecznych. Zna zasady bezpiecznego transportu materiałów niebezpiecznych. Zna zasady dotyczące prawidłowego oznaczania substancji niebezpiecznych.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wpływu stosowania substancji niebezpiecznych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konieczności przestrzegania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2026-04-10T21:10:31+02:00</dcterms:created>
  <dcterms:modified xsi:type="dcterms:W3CDTF">2026-04-10T21:10:31+02:00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