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3.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50 godzin przygotowań do wykładu i ćwiczeń, 30 godzin przygotowań do egzaminu. Razem 122 godziny = 5 punktów 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54 punkty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podstawową wiedzę z rachunku tensorowego, którą może wykorzystać w mechanice osrodków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Mat3_W02: </w:t>
      </w:r>
    </w:p>
    <w:p>
      <w:pPr/>
      <w:r>
        <w:rPr/>
        <w:t xml:space="preserve">Ma wiedzę z elementów rachunku prawdopodobieństwa i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objętym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2026-10-03T17:01:54+02:00</dcterms:created>
  <dcterms:modified xsi:type="dcterms:W3CDTF">2026-10-03T17:01:54+02:00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