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zajęć seminaryjnych, 82 godzin pracy w domu - studia literaturowe, przygotowanie referatu). Razem 110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 - 28 godzin zajęć seminaryjnych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wybiera spośród dwóch propozycji przedmiotu:
- seminarium problemowe inżynieria powierzchni I
- seminarium problemowe inżynieria powierzchni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SPIP6_W02: </w:t>
      </w:r>
    </w:p>
    <w:p>
      <w:pPr/>
      <w:r>
        <w:rPr/>
        <w:t xml:space="preserve">Poszerza w oparciu o dostępną literaturę wiedzę z zakresu nowoczesnych procesów obróbek powierzchniowych, umiejętność ich wyboru w aspekcie nadawania materiałom wymaganych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SPIP6_W03: </w:t>
      </w:r>
    </w:p>
    <w:p>
      <w:pPr/>
      <w:r>
        <w:rPr/>
        <w:t xml:space="preserve">Poszerza wiedzę z zakresu wpływu rodzaju wytwarzanych warstw, ich mikrostruktury, składu fazowego i chemicznego, stanu naprężeń własnych na właściwości użytkowe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SPIP6_U01: </w:t>
      </w:r>
    </w:p>
    <w:p>
      <w:pPr/>
      <w:r>
        <w:rPr/>
        <w:t xml:space="preserve">Posiada umiejętność korzystania ze źródeł literaturowych . Potrafi przygotować referat na zadany temat.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wygłoszenia referatów. Ocena umiejętności prowadzenia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SPIP6_U03: </w:t>
      </w:r>
    </w:p>
    <w:p>
      <w:pPr/>
      <w:r>
        <w:rPr/>
        <w:t xml:space="preserve">Na podstawie przeprowadzonych analiz fachowej literatury umie wskazać technologie inżynierii powierzchni gwarantujące poprawę odporności na zużycie, żaroodporności, właściwości mechanicznych i odporności na korozję materiałów konstrukcyjnych i funkcjonalnych. Potrafi dokonać wstępnej analizy ekonomicznej 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prezentowania referatów oraz umiejętności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SPIP6_U02: </w:t>
      </w:r>
    </w:p>
    <w:p>
      <w:pPr/>
      <w:r>
        <w:rPr/>
        <w:t xml:space="preserve">Potrafi wygłosić referat dotyczący roli metod inżynierii powierzchni w kształtowaniu właściwości materiałów, z uwzględnieniem aspektów ekonomicznych . Przy przygotowywaniu referatu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referatów,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SPIP6_K01: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SPIP6_K02: </w:t>
      </w:r>
    </w:p>
    <w:p>
      <w:pPr/>
      <w:r>
        <w:rPr/>
        <w:t xml:space="preserve">Ma świadomość ważności i rozumie pozatechniczne aspekty i skutki działalności inżynierskiej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2026-06-24T08:54:09+02:00</dcterms:created>
  <dcterms:modified xsi:type="dcterms:W3CDTF">2026-06-24T08:54:09+02:00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