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10 punktów ECTS za pracę dyplomową cz2  może nastąpić jednie w przypadku zakończenia pracy dyplomowej i pozytywnej ocenie merytorycznej przygotowanego materiału. 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PRAD2_U01: </w:t>
      </w:r>
    </w:p>
    <w:p>
      <w:pPr/>
      <w:r>
        <w:rPr/>
        <w:t xml:space="preserve">							potrafi odnaleźć i właściwie wykorzystać źródła in-formacji,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PRAD2_U03: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aktual-ności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PRAD2_K02: </w:t>
      </w:r>
    </w:p>
    <w:p>
      <w:pPr/>
      <w:r>
        <w:rPr/>
        <w:t xml:space="preserve">							rozumie potrzebę zachowań personalnych, przestrzega zasad etyki, unikania zjawiska plagiatu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2026-09-30T15:33:19+02:00</dcterms:created>
  <dcterms:modified xsi:type="dcterms:W3CDTF">2026-09-30T15:33:19+02:00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