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specjalności IP-IZP-GT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Różny w zależności od obieralnego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Poligrafii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IP-IZP-GT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zawiera Karta danego obieralnego przedmiotu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2025-06-13T22:57:01+02:00</dcterms:created>
  <dcterms:modified xsi:type="dcterms:W3CDTF">2025-06-13T22:57:01+02:00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