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GRAED_W1: </w:t>
      </w:r>
    </w:p>
    <w:p>
      <w:pPr/>
      <w:r>
        <w:rPr/>
        <w:t xml:space="preserve">							Wiedza z zakresu projektowania krojów pism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GRAED_U1: </w:t>
      </w:r>
    </w:p>
    <w:p>
      <w:pPr/>
      <w:r>
        <w:rPr/>
        <w:t xml:space="preserve">							Umiejętność wpływu budowy znaków drukarskich oraz parametrów układu typograficznego na czytelność i estetykę publikacji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GRAED_U2: </w:t>
      </w:r>
    </w:p>
    <w:p>
      <w:pPr/>
      <w:r>
        <w:rPr/>
        <w:t xml:space="preserve">							Umiejętność dotycząca projektowania za pomocą odpowiednich programów komputerowych oraz wykonania projektu graficznego publikacji elektronicznych oraz różnych rodzajów produktów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GRAED_K1: </w:t>
      </w:r>
    </w:p>
    <w:p>
      <w:pPr/>
      <w:r>
        <w:rPr/>
        <w:t xml:space="preserve">							Ma świadomość ważności i rozumie pozatechniczne aspekty w dziedzinie estetyki i sztuki projektowania grafiki użytkowej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2026-03-23T03:34:15+01:00</dcterms:created>
  <dcterms:modified xsi:type="dcterms:W3CDTF">2026-03-23T03:34:15+01:00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