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125. Obejmuje:
1) Zajęcia kontaktowe z nauczycielem:
-	obecność na wykładach 20 godz.,
-	obecność na ćwiczeniach laboratoryjnych 20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CHEM1_U1: </w:t>
      </w:r>
    </w:p>
    <w:p>
      <w:pPr/>
      <w:r>
        <w:rPr/>
        <w:t xml:space="preserve">							Na podstawie wiedzy uzyskanej w trakcie wykładu oraz przeprowadzonej analizy źródeł fachowej wiedzy potrafi omówić przebieg doświadczenia, opracować sprawozdanie i wyciągnąć wnioski.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PK1A_U03,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</w:t>
      </w:r>
    </w:p>
    <w:p>
      <w:pPr>
        <w:keepNext w:val="1"/>
        <w:spacing w:after="10"/>
      </w:pPr>
      <w:r>
        <w:rPr>
          <w:b/>
          <w:bCs/>
        </w:rPr>
        <w:t xml:space="preserve">Efekt CHEM1_U2: </w:t>
      </w:r>
    </w:p>
    <w:p>
      <w:pPr/>
      <w:r>
        <w:rPr/>
        <w:t xml:space="preserve">umiejętnie - w razie potrzeby - znajduje przyczyny błędów w procesach poligraficznych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2026-08-19T23:14:58+02:00</dcterms:created>
  <dcterms:modified xsi:type="dcterms:W3CDTF">2026-08-19T23:14:58+02:00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