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Biomateriały/ Biomaterials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Wierzchoń,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IM8-BM-FS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Powtórzenie i przyswojenie treści wykładowych 20 godzin. Przygotowanie do kolokwiów 25godzin. Razem 75 godzin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 godzin = 1,2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Charakterystyma biomateriałów metalicznych, ceramicznych, polimerowych i kompozytowych stosowanych w medycynie. Poznanie nowoczesnych metod inżynierii powierzchni kształtujących właściwości biomateriałów. Zrozumienie zasad doboru i projektowania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materiałów stosowanych w medycynie: metalicznych, ceramicznych, polimerowych, kompozytowych. Sterylizacja biomateriałów. Badania in vitro i in vivo. Nowiczesne metody inżynierii powierzchni stoosowane w wytwarzaniu biomateriałów o kontrolowanej biozgodności i aktywności biologicznej. Inżynieria biomimetyczna.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Marciniak, Biomateriały, Wyd. Politechniki Śląskiej, Gliwice 2002,
A. Ślósarczyk, Bioceramika hydroksyapatytowa, Polskie Towarzystwo Ceramiczne, Kraków 1997;
D.M. Brunette, P. Tengvall i WSP., Titanium in Medicine, Springer-Verlag, Berlin, Heidelberg, New York 2001;
E. Ellingsen, S.P. Lyngstadaas, Bio-implant Interface, Improving Biomaterials and Tissue Reactions, CRC Press LLC, Boca Raton, London – New York 2003;
Biomateriały, tom IV, Biocybernetyka i inżynieria biomedyczna 200, pod redakcją M. Nałęcza, Akademicka Oficyny Wydawnicza, EXIT, 2003;
T. Wierzchoń, E. Czarnowska, D. Krupa, Inżynieria Powierzchni w wytwarzaniu biomateriałów tytanowych, Oficyna Wydawnicza Politechniki Warszawskiej, Warszawa 2004;
J. Breme, J. Kirkpatrick, R. Thull, Metalic Biomaterial Interfaces, Villey-Vch, Verlag GmbH, 2008;
J.F. Shackelford, Biomaterials – application of ceramics and glass materials in medicine, Traus, Tech. Publ. Inc. USA 1998;
M. Gierzyńska-Dolna, Biotribologia, Wyd. Politechniki Częstochowskiej, 2002;
M.J. Jackson, Waqar Ahmed, Surface Engineered Surgical Tools and Medical Devices, Springer Science LLC, New York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BiOW1: </w:t>
      </w:r>
    </w:p>
    <w:p>
      <w:pPr/>
      <w:r>
        <w:rPr/>
        <w:t xml:space="preserve">Zna i rozumie wymagania stawiane biomateriałom, a w szczególności implantom i instrumentarium medycznemu  wytwarzanych z materiałów metalicznych, polimerowych, ceramicznych i kompozytowych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BIOW2: </w:t>
      </w:r>
    </w:p>
    <w:p>
      <w:pPr/>
      <w:r>
        <w:rPr/>
        <w:t xml:space="preserve">Umie ocenić i zna metody kształtowania właściwości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w trakcie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BIOU1: </w:t>
      </w:r>
    </w:p>
    <w:p>
      <w:pPr/>
      <w:r>
        <w:rPr/>
        <w:t xml:space="preserve">Potrafi pozyskiwać informacje, interepretować wyniki badań, w tym biologicznych w korelacji z rodzajem i właściwościami stosowanych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BIOU2: </w:t>
      </w:r>
    </w:p>
    <w:p>
      <w:pPr/>
      <w:r>
        <w:rPr/>
        <w:t xml:space="preserve">Na podstawie wiedzy z wykładu oraz analizy fachowej literatury student potrafi wskazać odpowiedni biomateriał do zastosowań na implanty kostne, kardiologiczne i wymagane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BiOK1: </w:t>
      </w:r>
    </w:p>
    <w:p>
      <w:pPr/>
      <w:r>
        <w:rPr/>
        <w:t xml:space="preserve">Rozumie potrzebę uczenia się przez całe życie. Rozumie problem dezaktualizacji nabytej wiedzy – będący wynikiem zachodzących w świecie nauki zmian, w tym pojawiania się nowych odkryć. Potrafi odpowiednio określić priorytety służące realizacji określonego przez siebie zadania. Prawidłowo identyfikuje i rozstrzyga dylematy związane z wykonywaniem zawodu. Rozumie wagę odpowiedzialności za podejmowane przez decyzje. Student ma świadomość znaczenia biomateriałów dla poprawy jakości życia. Ma świadomość konieczności popularyzowania wśród społeczeństwa w sposób zrozumiały wiedzy nt. osiągnięć techniki oraz potrzeby prowadzenia dialogu na temat prowadzonych prac z środowiskiem zawodowym, z zachowaniem zasad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2026-07-08T09:22:36+02:00</dcterms:created>
  <dcterms:modified xsi:type="dcterms:W3CDTF">2026-07-08T09:22:36+02:00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