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i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Przygotowanie projektu wyrobu lub procesu według zasad cyklu życia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i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LCA_W1: </w:t>
      </w:r>
    </w:p>
    <w:p>
      <w:pPr/>
      <w:r>
        <w:rPr/>
        <w:t xml:space="preserve">ma wiedzę o roli LCA w zarządzaniu środowiskiem w trakcie projektowania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LCA_U1: </w:t>
      </w:r>
    </w:p>
    <w:p>
      <w:pPr/>
      <w:r>
        <w:rPr/>
        <w:t xml:space="preserve">potrafi analizowa procesy wytwarzania i przetwarzania różnych grup materiałó pod katem ich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LCA_KS1: </w:t>
      </w:r>
    </w:p>
    <w:p>
      <w:pPr/>
      <w:r>
        <w:rPr/>
        <w:t xml:space="preserve">Prawidłowo identyfikuje i rozwiązuje zadania związane z projektowaniem materiałów i procesów ich wytwarzania z uwzględnieniem zasad LCA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2026-10-02T01:38:27+02:00</dcterms:created>
  <dcterms:modified xsi:type="dcterms:W3CDTF">2026-10-02T01:38:27+02:00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