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zajęcia 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 - umożliwiającą pojmowanie i formułowanie w języku obcym zagadnień związanych z społecznymi  i innymi uwarunkowaniami działalności inżynierskiej.  Ma uporządkowaną znajomość struktur gramatycznych i słownictwa dotyczących rozumienia 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JO_U1_1: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JO_U1_2: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 używając odpowiedniego akcentu, intonacji oraz potrafi wypełnić  luki w słownictwie za pomocą omówień.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JO_U1_3: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JO_U1_4: </w:t>
      </w:r>
    </w:p>
    <w:p>
      <w:pPr/>
      <w:r>
        <w:rPr/>
        <w:t xml:space="preserve">Rozwija poprzez pracę własną w domu nabytą w trakcie zajęć wiedzę i umiejętności 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JO_K1_1: </w:t>
      </w:r>
    </w:p>
    <w:p>
      <w:pPr/>
      <w:r>
        <w:rPr/>
        <w:t xml:space="preserve">Razem z innymi uczestnikami zajęć potrafi prowadzić dyskusję na zadany temat, odtwarzać systuacje z życia codziennego i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JO_K1_2: </w:t>
      </w:r>
    </w:p>
    <w:p>
      <w:pPr/>
      <w:r>
        <w:rPr/>
        <w:t xml:space="preserve">Rozumie potrzebę uczenia się przez całe życie, aktualizacji posiadanej wiedzy dot. słownictwa oraz umiejętności; rozumie problem dezaktualizacji 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2026-07-08T15:13:04+02:00</dcterms:created>
  <dcterms:modified xsi:type="dcterms:W3CDTF">2026-07-08T15:13:04+02:00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