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II/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SPMNMII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poprawności wykonania elementów ze stopów w osnowie żelaza w kontekście ich zniszczenia - mechanizmy zużycia materiałów, odporność na kruche pękanie, zniszczenia zmęczeniowe, zużycie ścierne, odporność korozyjna, degradacja materiału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SPMNMII_W1: </w:t>
      </w:r>
    </w:p>
    <w:p>
      <w:pPr/>
      <w:r>
        <w:rPr/>
        <w:t xml:space="preserve">Ma podstawową wiedzę z zakresu degradacji materiałów ze stopów w osnowie żelaza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SPMNMII_U1: </w:t>
      </w:r>
    </w:p>
    <w:p>
      <w:pPr/>
      <w:r>
        <w:rPr/>
        <w:t xml:space="preserve">Posiada umiejętność wykonywania oraz opracowywania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SPMNMII_K1: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SPMNMII_K2: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2026-10-02T21:41:11+02:00</dcterms:created>
  <dcterms:modified xsi:type="dcterms:W3CDTF">2026-10-02T21:41:11+02:00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