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Obieralne - Ekspertyza Materiałowa/ Materiał Expertise Seminar</w:t>
      </w:r>
    </w:p>
    <w:p>
      <w:pPr>
        <w:keepNext w:val="1"/>
        <w:spacing w:after="10"/>
      </w:pPr>
      <w:r>
        <w:rPr>
          <w:b/>
          <w:bCs/>
        </w:rPr>
        <w:t xml:space="preserve">Koordynator przedmiotu: </w:t>
      </w:r>
    </w:p>
    <w:p>
      <w:pPr>
        <w:spacing w:before="20" w:after="190"/>
      </w:pPr>
      <w:r>
        <w:rPr/>
        <w:t xml:space="preserve">prof dr hab.inż. Krzysztof Rożniatowski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SP-EM-I</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10-30 studentów</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Zależne od wybranej przez Studenta propozycji  seminarium</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student dokonuje wyboru spośród dwóch seminariów seminarium problemowe ekspertyza materiałowa I i II</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2026-10-02T17:08:56+02:00</dcterms:created>
  <dcterms:modified xsi:type="dcterms:W3CDTF">2026-10-02T17:08:56+02:00</dcterms:modified>
</cp:coreProperties>
</file>

<file path=docProps/custom.xml><?xml version="1.0" encoding="utf-8"?>
<Properties xmlns="http://schemas.openxmlformats.org/officeDocument/2006/custom-properties" xmlns:vt="http://schemas.openxmlformats.org/officeDocument/2006/docPropsVTypes"/>
</file>