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Społeczna odpowiedzialność biznesu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Krzysztof Buczkowski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ZGP 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h w tym 16 h - wykład, 4h - konsultacje,12 h - przygotowanie do kolokwium,15 h -przygotowanie do zaliczenia,15 h - przygotowanie do zajęć w tym zapoznanie z literaturą, 10h -przygotowanie eseju, 3h -inne.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0,64 ECTS - wykłady
II.0,28 ECTS - konsultacje, dodatkowe zaliczenia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Celem przedmiotu jest przybliżenie studentom problematyki z zakresu społecznej odpowiedzialności biznesu (CSR – ang. corporate social responsibility) oraz nabycie przez studentów praktycznych umiejętności wykorzystywania różnorodnych instrumentów odpowiedzialnego zarządzania w przedsiębiorstwie w kontekście wyzwań zasad zrównoważonego rozwoju.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Geneza i rozwój koncepcji społecznej odpowiedzialności przedsiębiorstw
Podstawy teoretyczne koncepcji społecznej odpowiedzialności przedsiębiorstw
Dialog i współpraca z interesariuszami organizacji  
Kluczowe obszary CSR: zaangażowanie społeczne, środowisko 
Relacje z pracownikami jako kluczowy obszar CSR 
CSR jako instrument budowania przewagi konkurencyjnej firmy 
Standaryzacja i normalizacja społecznej odpowiedzialności przedsiębiorstw normy: ISO 26000 SA8000, AA1000, ISO 14001, EMAS, Czystsza produkcja etc.  
Raportowanie społecznej odpowiedzialności przedsiębiorstw 
Zasady CSR w polityce gospodarczej Unii Europejskiej i państw członkowskich 
Dialog publiczno-prywatny, organizacje pozarządowe (NGO) a CSR 
Znaczenie kapitału społecznego dla społecznej odpowiedzialności biznesu.
Ewolucja CSR w Polsce – dyskusja 
Proces tworzenia strategii CSR w MŚP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przygotowanie samodzielnego eseju oraz pozytywna ocena z dwóch pisemnych kolokwiów w formie testu (zawierających pytania opisowe i wyboru prawidłowej odpowiedzi z zaproponowanych w dedykowanym arkuszu). Zasady oceniania Ocena testów na podstawie % poprawnych odpowiedzi - tabela z punktacją:
% zdobytych punktów ocena
95-100 % 5
85-94 % 4,5
75-84 % 4
65-74 % 3,5
50-64 % 3
w celu uzupełnienia braków studenci kontaktują się z prowadzącym zajęcia w następujący sposób:
- w trakcie trwania semestru, w którym prowadzący ma zajęcia na uczelni: w dniu zajęć, podczas konsultacji i poprzez wskazany adres poczty elektronicznej;
- w trakcie trwania semestru, w którym prowadzący nie ma zajęć na uczelni: poprzez sekretariat studiów i poprzez wskazany adres poczty elektronicznej.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B. Rok, Odpowiedzialny biznes w nieodpowiedzialnym świecie, Forum Odpowiedzialnego Biznesu, Warszawa 2004
M. Żemigała, Społeczna odpowiedzialność przedsiębiorstwa, Oficyna Wolters Kluwer Business, Kraków 2007
A. Paliwoda-Matiolańska, Odpowiedzialność społeczna w procesie zarządzania przedsiębiorstwem, Wydawnictwo C.H.Beck, Warszawa 2008
J. Adamczyk, Społeczna odpowiedzialność przedsiębiorstw, PWE, Warszawa 2009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W08: </w:t>
      </w:r>
    </w:p>
    <w:p>
      <w:pPr/>
      <w:r>
        <w:rPr/>
        <w:t xml:space="preserve">definiuje podstawowe idee i koncepcje społecznej odpowiedzialności biznesu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keepNext w:val="1"/>
        <w:spacing w:after="10"/>
      </w:pPr>
      <w:r>
        <w:rPr>
          <w:b/>
          <w:bCs/>
        </w:rPr>
        <w:t xml:space="preserve">Efekt W10: </w:t>
      </w:r>
    </w:p>
    <w:p>
      <w:pPr/>
      <w:r>
        <w:rPr/>
        <w:t xml:space="preserve">zna podstawowe pojęcia z zakresu społecznej odpowiedzialności biznesu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S1A_W08</w:t>
      </w:r>
    </w:p>
    <w:p>
      <w:pPr>
        <w:keepNext w:val="1"/>
        <w:spacing w:after="10"/>
      </w:pPr>
      <w:r>
        <w:rPr>
          <w:b/>
          <w:bCs/>
        </w:rPr>
        <w:t xml:space="preserve">Efekt W17: </w:t>
      </w:r>
    </w:p>
    <w:p>
      <w:pPr/>
      <w:r>
        <w:rPr/>
        <w:t xml:space="preserve">rozumie znaczenie obszaru zainteresowań społecznej odpowiedzialności biznesu.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U25: </w:t>
      </w:r>
    </w:p>
    <w:p>
      <w:pPr/>
      <w:r>
        <w:rPr/>
        <w:t xml:space="preserve">analizuje zachowania ludzi na wszystkich szczeblach wybranej organizacji i potrafi ocenić przydatnośc zastosowanych modeli CSR w praktyce gospodarczej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II, ocena eseju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konieczności permamentnego uzupełniania wiedzy i umiejętności w wyniku zmian dynamicznego otoczenia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w dyskusji nad analizowanymi przykładami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</w:t>
      </w:r>
    </w:p>
    <w:p>
      <w:pPr>
        <w:keepNext w:val="1"/>
        <w:spacing w:after="10"/>
      </w:pPr>
      <w:r>
        <w:rPr>
          <w:b/>
          <w:bCs/>
        </w:rPr>
        <w:t xml:space="preserve">Efekt K09: </w:t>
      </w:r>
    </w:p>
    <w:p>
      <w:pPr/>
      <w:r>
        <w:rPr/>
        <w:t xml:space="preserve">student zachowuje krytycyzm wobec przyczyn powstawania konfliktów  i jest zorientowany na ich rozstrzyganie sporów poprzez wspólne porozumienie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w dyskusji nad analizowanymi przykładami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2025-07-05T10:51:31+02:00</dcterms:created>
  <dcterms:modified xsi:type="dcterms:W3CDTF">2025-07-05T10:51:31+02:00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