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ZFP 16</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16 h - wykłady, 16 h - ćwiczenia, 14h -  przygotowanie do zajęć w tym zapoznanie z literaturą, 16h - przygotowanie do egzaminu, 16 h - przygotowanie do kolokwium, 6 h - przygotowanie pracy, 6 h - konsultacje, 10 h - inne (egzaminy poprawkowe, zaliczenie ćwiczeń w dodatkowym terminie, cząstkowe sprawdzenie przygotowania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0,64 ECTS w tym: konsultacje 0,24 ECTS, egzaminy poprawkowe 0,16 ECTS, zaliczenie ćwiczeń w dodatkowym terminie 0,08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 -finansowego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 Przedmiot i ewolucja nauki o przedsiębiorstwie. Cele i misja przedsiębiorstwa. Cykl życia przedsiębiorstwa.
2. Potencjał i działalność gospodarcza przedsiębiorstwa. Kapitał przedsiębiorstwa i jego zmiany. Kapitał intelektualny przedsiębiorstwa. 
3. Zarządzanie, planowanie i motywowanie w przedsiębiorstwie. Ocena działalności gospodarczej przedsiębiorstwa. Struktura organizacyjna przedsiębiorstwa i jej kształtowanie.
4. Przekrojowe koncepcje zarządzania przedsiębiorstwem. Logistyka w przedsiębiorstwie. Kompleksowe zarządzanie jakością. Controlling.
5. Przedsiębiorstwo a rynek. Struktury i rodzaje rynków. Marketing w działalności przedsiębiorstwa. Polityka cenowa przedsiębiorstwa. Polityka antymonopolowa.
6. Współpraca przedsiębiorstwa z innymi podmiotami gospodarczymi.
7. Przedsiębiorstwo a państwo. Zakres i formy regulacji działalności przedsiębiorstwa przez państwo. Stosunki przedsiębiorstwa z samorządem terytorialnym. Przedsiębiorstwo i środowisko europejskie.
8. Globalizacja przedsiębiorstwa. Wybór sposobu wejścia na rynek zagraniczny.
Ćwiczenia:
1. Geneza i istota przedsiębiorstwa. Rodzaje przedsiębiorstw wyróżnione ze względu na kryterium własności, pozycji rynkowej, wielkości przedsiębiorstwa, rodzaju działalności. 2. Porównanie ważniejszych cech spółek prawa polskiego. Problemy wyboru formy prawno-organizacyjnej przedsiębiorstwa.Uruchamianie działalności gospodarczej. Warunki formalne związane z tworzeniem przedsiębiorstwa.
3. Przyczyny upadłości i przeciwdziałanie stanom krytycznym. Postępowanie naprawcze. Przekształcenia własnościowe przedsiębiorstw – cele i formy. Prywatyzacja pośrednia i bezpośrednia.
4. Gospodarowanie majątkiem trwałym przedsiębiorstwa. Skład majątku trwałego. Podział środków trwałych. Miary wykorzystania środków trwałych.
5. Gospodarowanie majątkiem obrotowym przedsiębiorstwa. Skład majątku obrotowego. Miary efektywności wykorzystania majątku obrotowego. Główne czynniki obniżające materiałochłonność. Czynniki kształtujące zapasy produkcyjne.
6. Organizacja i sterowanie produkcją. System i proces produkcyjny. Zasady racjonalnej organizacji procesu produkcyjnego. Typy i formy produkcji.
</w:t>
      </w:r>
    </w:p>
    <w:p>
      <w:pPr>
        <w:keepNext w:val="1"/>
        <w:spacing w:after="10"/>
      </w:pPr>
      <w:r>
        <w:rPr>
          <w:b/>
          <w:bCs/>
        </w:rPr>
        <w:t xml:space="preserve">Metody oceny: </w:t>
      </w:r>
    </w:p>
    <w:p>
      <w:pPr>
        <w:spacing w:before="20" w:after="190"/>
      </w:pPr>
      <w:r>
        <w:rPr/>
        <w:t xml:space="preserve">Warunkiem zaliczenia przedmiotu jest przygotowanie prezentacji, uzyskanie przez studenta pozytywnej oceny z dwóch pisemnych kolokwiów oraz z pisemnego egzaminu. Każde kolokwium będzie zawierało 5 pytań otwartych. Za każde pytanie można zdobyć maksymalnie 1 pkt. Warunkiem zaliczenia jednego kolokwium jest uzyskanie minimum 3 pkt.Pisemny egzamin będzie zawierał 10 pytań otwartych. Za każde pytanie można zdobyć 1 pkt. Warunkiem zaliczenia egzaminu jest uzyskanie minimum 6 pkt. Ocena zintegrowana z przedmiotu 5,0 - 19-20 pkt; 4,5 - 17-18 pkt; 4,0 - 15-16 pkt; 3,5 - 13-14 pkt; 3,0 - 12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6. Publikacje na stronach internetowych PARP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W12: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 (W7)</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keepNext w:val="1"/>
        <w:spacing w:after="10"/>
      </w:pPr>
      <w:r>
        <w:rPr>
          <w:b/>
          <w:bCs/>
        </w:rPr>
        <w:t xml:space="preserve">Efekt W14: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(W1-W8); pisemne kolokwium opisowe (C1-C6)</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(W2-W8); analiza studium przypadku ; pisemne kolokwia opisowe (C2-C6)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(W1 - W8), pisemne kolokwium opisowe (C3)</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prezentacji multimedialnej</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prezentacji multimedialnej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2026-08-18T17:08:39+02:00</dcterms:created>
  <dcterms:modified xsi:type="dcterms:W3CDTF">2026-08-18T17:08:39+02:00</dcterms:modified>
</cp:coreProperties>
</file>

<file path=docProps/custom.xml><?xml version="1.0" encoding="utf-8"?>
<Properties xmlns="http://schemas.openxmlformats.org/officeDocument/2006/custom-properties" xmlns:vt="http://schemas.openxmlformats.org/officeDocument/2006/docPropsVTypes"/>
</file>