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10 x 3 godz. = 30 godz.
studia dodatkowej literatury: 5 x 6 = 30 godz.
udział w zajęciach praktycznych: 5 x 3 = 15 godz.
praca nad pracami domowymi: 5 x 8 = 40 godz.
praca nad projektem końcowym: 20 godz. 
przygotowanie do egzaminu: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wnioskowania statystycznego (estymacja, testy istotności statystycznej) i modeli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ma na celu przedstawienie metod analizy przeżycia, zarówno w zakresie podstawowych technik wnioskowania statystycznego jak i modeli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przeżycia
Model proporcjonalnych hazardów
Modele parametryczne
Analiza danych wielowymiarowych i skorelowanych: modele brzegowe, modele oparte na kopułach, model z efektami losowymi
Analiza konkurencyjnych ryzyk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BIO_U_03: </w:t>
      </w:r>
    </w:p>
    <w:p>
      <w:pPr/>
      <w:r>
        <w:rPr/>
        <w:t xml:space="preserve">Umie wyznaczyć wartość statystyk Wilcoxona- Gehana i lograngowej oraz zinterpretować wyniki odpowiadających testów.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/  egzamin,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2026-10-03T05:06:31+02:00</dcterms:created>
  <dcterms:modified xsi:type="dcterms:W3CDTF">2026-10-03T05:06:31+02:00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