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h - wykład
20 h  - zadania domowe, konsultacje
15 h  - przygotowanie do egzaminu
Łącznie 80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
Nowoczesne i zaawansowane materiały, w tym wyrafinowane kompozyty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(Coroczna modyfikacja programu dla uwzględnienia nowości naukowych oraz przygotowania studentów do dalszych studiów / prac badawczych m. in. w ramach wymiany z uczelniami i jednostkami badawczymi zagranicznymi).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końcowe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Materia?y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NS529_W2: </w:t>
      </w:r>
    </w:p>
    <w:p>
      <w:pPr/>
      <w:r>
        <w:rPr/>
        <w:t xml:space="preserve">																					Ma postawową wiedzę na temat wszystkich grup nowoczesnych materiałów z uwypukleniem ich zastosowań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NS529_W3: </w:t>
      </w:r>
    </w:p>
    <w:p>
      <w:pPr/>
      <w:r>
        <w:rPr/>
        <w:t xml:space="preserve">																					Zna teorie: klasycznà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uwzględniajacego efekty i zjawiska wystepujące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W4 i MKMiK 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W3, MKMiK U1 i MKMiK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, MKMiK W1, MKMiK W3 i MKMiK U2, MKMiK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2026-10-01T06:01:18+02:00</dcterms:created>
  <dcterms:modified xsi:type="dcterms:W3CDTF">2026-10-01T06:01:18+02:00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