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w laboratorium – 60h
2.	zapoznanie się ze wskazaną literaturą – 10h
3.	przygotowanie do zaliczeń – 10h
Razem nakład pracy studenta: 60h + 10h + 10h = 80h,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w laboratorium informatycznym – 60h
2. opracowanie wyników badań, sprawozdań – 20h
Razem: 60h + 20h = 80h,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chemii fizycznej – termodynamiki. W laboratorium wykonuje się pomiary równowag fazowych ciecz-para, ciecz-ciecz i ciecz-ciało. Realizuje się różne możliwości korelacji danych równowagowych oraz współczesne metody przewidywania równowag fazowych typu Mod. UNIFAC, DISQUAC. Badania mają być prowadzone w układach polimerów i cieczy jonowych o dużym współczesnym znaczeniu. Celem laboratorium jest egzemplifikacja zjawisk będących przedmiotem zainteresowania termodynamiki równowag fazowych i różnych właściwości fizykochemicznych, przedstawianych w ramach odpowiedniego wykładu z termodynamiki równowag fazowych. Tematyka poszczególnych ćwiczeń obejmuje zagadnienia eksperymentalne i obliczeniowe, omawiane w ramach wykładu w laboratorium komputerowym. Celem laboratorium jest więc nabycie umiejętności prowadzenia badań i obliczeń do opracowań technologicznych.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Z. Jóżwiak, G. Bartosz, Biofizyka. Wybrane zagadnienia wraz z ćwiczeniami. Wydawnictwa Naukowe PWN,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W06: </w:t>
      </w:r>
    </w:p>
    <w:p>
      <w:pPr/>
      <w:r>
        <w:rPr/>
        <w:t xml:space="preserve">Posiada szczegółową wiedzę na temat termodynamiki; potrafi przeprowadzić modelowanie procesów technologicznych</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U05: </w:t>
      </w:r>
    </w:p>
    <w:p>
      <w:pPr/>
      <w:r>
        <w:rPr/>
        <w:t xml:space="preserve">Potrafi samodzielnie przygotować pisemne opracowanie naukowe a także prezentację ustną w języku polskim jak również w języku obcym przedstawiające wyniki badań własnych i zawierające opis oraz uzasadnienie celu pracy, przyjętą metodologię, wyniki i ich znaczenie na tle innych podobnych badań</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2026-08-19T00:42:15+02:00</dcterms:created>
  <dcterms:modified xsi:type="dcterms:W3CDTF">2026-08-19T00:42:15+02:00</dcterms:modified>
</cp:coreProperties>
</file>

<file path=docProps/custom.xml><?xml version="1.0" encoding="utf-8"?>
<Properties xmlns="http://schemas.openxmlformats.org/officeDocument/2006/custom-properties" xmlns:vt="http://schemas.openxmlformats.org/officeDocument/2006/docPropsVTypes"/>
</file>