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laboratoriach – 90h 
2.	zapoznanie się ze wskazaną literaturą 20h
3.	opracowanie wyników badań własnych – 45h 
Razem nakład pracy studenta: 155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90h 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fizykochemicznych podstaw działania, zakresu stosowalności sensorów elektrochemicznych i matryc czujnikowych
•	potrafić analizować i przetwarzać otrzymane z matryc dane pomiarowe
•	potrafić korzystać z podstawowych technik chemometrycznych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zakres stosowalności sensorów elektrochemicznych i matryc czujnikowych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sposoby rozwiązywania problemów rachunkowych dotyczące chemometrycznego i statystycznego opracowania wyników pomiarów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oprogramowaniem do obliczeń statystycznych/chemometrycznych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U02: </w:t>
      </w:r>
    </w:p>
    <w:p>
      <w:pPr/>
      <w:r>
        <w:rPr/>
        <w:t xml:space="preserve">potrafi interpretować uzyskane wyniki doświadczalne, oceniać ich rzetelność i wyciągać z nich wnioski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U03: </w:t>
      </w:r>
    </w:p>
    <w:p>
      <w:pPr/>
      <w:r>
        <w:rPr/>
        <w:t xml:space="preserve">Zna metodykę prezentowania wyników badań i pisania prac naukowych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T2A_U02, T2A_U03, T2A_U06, 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 oraz samodzielnie dokonując pomiarów oraz analizy chemometrycznej wyników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2026-07-28T11:31:33+02:00</dcterms:created>
  <dcterms:modified xsi:type="dcterms:W3CDTF">2026-07-28T11:31:33+02:00</dcterms:modified>
</cp:coreProperties>
</file>

<file path=docProps/custom.xml><?xml version="1.0" encoding="utf-8"?>
<Properties xmlns="http://schemas.openxmlformats.org/officeDocument/2006/custom-properties" xmlns:vt="http://schemas.openxmlformats.org/officeDocument/2006/docPropsVTypes"/>
</file>