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laboratorium – 30h
2.	przygotowanie sprawozdań ćwiczeń laboratoryjnych – 30h
3.	przygotowanie do egzaminu i obecność na egzaminie – 25h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sensorów oraz mechanizmów towarzyszących rozpoznawaniu analitów i generowaniu sygnału chemicznego w warstwie receptorowej sensora
•	znać perspektywy rozwoju sensorów i biosensorów, 
•	oceniać prawidłowo przydatność określonych sensorów i biosensorów do oznaczeń analitycznych w kontroli analitycznej (np. procesów biotechnologicznych, diagnostyce medycznej, przemyśle spożywczym, ochronie środowiska, itp.),
•	realizować pod kierunkiem prowadzącego ćwiczenia laboratoryjne z wykorzystaniem nowoczesnych urządzeń analitycznych i dokonać analizy wyników.
</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sensorów i biosensorów oraz mechanizmy towarzyszących rozpoznawaniu analitów i generowaniu sygnału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keepNext w:val="1"/>
        <w:spacing w:after="10"/>
      </w:pPr>
      <w:r>
        <w:rPr>
          <w:b/>
          <w:bCs/>
        </w:rPr>
        <w:t xml:space="preserve">Efekt W02: </w:t>
      </w:r>
    </w:p>
    <w:p>
      <w:pPr/>
      <w:r>
        <w:rPr/>
        <w:t xml:space="preserve">zna perspektywy rozwoju sensorów i biosensorów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określonych sensorów i biosensorów do oznaczeń analitycznych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T2A_U09, T2A_U11, T2A_U13, T2A_U15, T2A_U16</w:t>
      </w:r>
    </w:p>
    <w:p>
      <w:pPr>
        <w:keepNext w:val="1"/>
        <w:spacing w:after="10"/>
      </w:pPr>
      <w:r>
        <w:rPr>
          <w:b/>
          <w:bCs/>
        </w:rPr>
        <w:t xml:space="preserve">Efekt U02: </w:t>
      </w:r>
    </w:p>
    <w:p>
      <w:pPr/>
      <w:r>
        <w:rPr/>
        <w:t xml:space="preserve">potrafi zaprojektować sposób kontroli analitycznej wybranych procesów biotechnologicznych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T2A_U08, T2A_U09, T2A_U11</w:t>
      </w:r>
    </w:p>
    <w:p>
      <w:pPr>
        <w:keepNext w:val="1"/>
        <w:spacing w:after="10"/>
      </w:pPr>
      <w:r>
        <w:rPr>
          <w:b/>
          <w:bCs/>
        </w:rPr>
        <w:t xml:space="preserve">Efekt U03: </w:t>
      </w:r>
    </w:p>
    <w:p>
      <w:pPr/>
      <w:r>
        <w:rPr/>
        <w:t xml:space="preserve">potrafi zaprojektować sposób kontroli analitycznej wybranych procesów biotechnologicznych potrafi opracować uzyskane dane eksperymentalne i przygotować raport z przeprowadzonych badań</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T2A_U05, T2A_U08, T2A_U05, T2A_U08, T2A_U09, T2A_U10, T2A_U09, T2A_U11</w:t>
      </w:r>
    </w:p>
    <w:p>
      <w:pPr>
        <w:keepNext w:val="1"/>
        <w:spacing w:after="10"/>
      </w:pPr>
      <w:r>
        <w:rPr>
          <w:b/>
          <w:bCs/>
        </w:rPr>
        <w:t xml:space="preserve">Efekt U04: </w:t>
      </w:r>
    </w:p>
    <w:p>
      <w:pPr/>
      <w:r>
        <w:rPr/>
        <w:t xml:space="preserve">potrafi posługiwać się specjalistyczną nomenklaturą w języku angielskim</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T2A_U05, T2A_U10, T2A_U02, T2A_U03, T2A_U06, T2A_U03,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2026-07-10T16:54:49+02:00</dcterms:created>
  <dcterms:modified xsi:type="dcterms:W3CDTF">2026-07-10T16:54:49+02:00</dcterms:modified>
</cp:coreProperties>
</file>

<file path=docProps/custom.xml><?xml version="1.0" encoding="utf-8"?>
<Properties xmlns="http://schemas.openxmlformats.org/officeDocument/2006/custom-properties" xmlns:vt="http://schemas.openxmlformats.org/officeDocument/2006/docPropsVTypes"/>
</file>