
<file path=[Content_Types].xml><?xml version="1.0" encoding="utf-8"?>
<Types xmlns="http://schemas.openxmlformats.org/package/2006/content-types">
  <Default Extension="rels" ContentType="application/vnd.openxmlformats-package.relationships+xml"/>
  <Default Extension="xml" ContentType="application/xml"/>
  <Override PartName="/docProps/core.xml" ContentType="application/vnd.openxmlformats-package.core-properties+xml"/>
  <Override PartName="/docProps/app.xml" ContentType="application/vnd.openxmlformats-officedocument.extended-properties+xml"/>
  <Override PartName="/docProps/custom.xml" ContentType="application/vnd.openxmlformats-officedocument.custom-properties+xml"/>
  <Override PartName="/word/document.xml" ContentType="application/vnd.openxmlformats-officedocument.wordprocessingml.document.main+xml"/>
  <Override PartName="/word/styles.xml" ContentType="application/vnd.openxmlformats-officedocument.wordprocessingml.styles+xml"/>
  <Override PartName="/word/numbering.xml" ContentType="application/vnd.openxmlformats-officedocument.wordprocessingml.numbering+xml"/>
  <Override PartName="/word/settings.xml" ContentType="application/vnd.openxmlformats-officedocument.wordprocessingml.settings+xml"/>
  <Override PartName="/word/theme/theme1.xml" ContentType="application/vnd.openxmlformats-officedocument.theme+xml"/>
  <Override PartName="/word/webSettings.xml" ContentType="application/vnd.openxmlformats-officedocument.wordprocessingml.webSettings+xml"/>
  <Override PartName="/word/fontTable.xml" ContentType="application/vnd.openxmlformats-officedocument.wordprocessingml.fontTable+xml"/>
  <Override PartName="/word/comments.xml" ContentType="application/vnd.openxmlformats-officedocument.wordprocessingml.comments+xml"/>
</Types>
</file>

<file path=_rels/.rels><?xml version="1.0" encoding="UTF-8" standalone="yes"?>
<Relationships xmlns="http://schemas.openxmlformats.org/package/2006/relationships"><Relationship Id="rId1" Type="http://schemas.openxmlformats.org/package/2006/relationships/metadata/core-properties" Target="docProps/core.xml"/><Relationship Id="rId2" Type="http://schemas.openxmlformats.org/officeDocument/2006/relationships/extended-properties" Target="docProps/app.xml"/><Relationship Id="rId3" Type="http://schemas.openxmlformats.org/officeDocument/2006/relationships/custom-properties" Target="docProps/custom.xml"/><Relationship Id="rId4" Type="http://schemas.openxmlformats.org/officeDocument/2006/relationships/officeDocument" Target="word/document.xml"/></Relationships>
</file>

<file path=word/document.xml><?xml version="1.0" encoding="utf-8"?>
<w:document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body>
    <w:p>
      <w:pPr>
        <w:keepNext w:val="1"/>
        <w:spacing w:after="10"/>
      </w:pPr>
      <w:r>
        <w:rPr>
          <w:b/>
          <w:bCs/>
        </w:rPr>
        <w:t xml:space="preserve">Nazwa przedmiotu: </w:t>
      </w:r>
    </w:p>
    <w:p>
      <w:pPr>
        <w:spacing w:before="20" w:after="190"/>
      </w:pPr>
      <w:r>
        <w:rPr/>
        <w:t xml:space="preserve">Analityczna kontrola bioprocesów</w:t>
      </w:r>
    </w:p>
    <w:p>
      <w:pPr>
        <w:keepNext w:val="1"/>
        <w:spacing w:after="10"/>
      </w:pPr>
      <w:r>
        <w:rPr>
          <w:b/>
          <w:bCs/>
        </w:rPr>
        <w:t xml:space="preserve">Koordynator przedmiotu: </w:t>
      </w:r>
    </w:p>
    <w:p>
      <w:pPr>
        <w:spacing w:before="20" w:after="190"/>
      </w:pPr>
      <w:r>
        <w:rPr/>
        <w:t xml:space="preserve">prof. dr hab. inż. Elżbieta Malinowska </w:t>
      </w:r>
    </w:p>
    <w:p>
      <w:pPr>
        <w:keepNext w:val="1"/>
        <w:spacing w:after="10"/>
      </w:pPr>
      <w:r>
        <w:rPr>
          <w:b/>
          <w:bCs/>
        </w:rPr>
        <w:t xml:space="preserve">Status przedmiotu: </w:t>
      </w:r>
    </w:p>
    <w:p>
      <w:pPr>
        <w:spacing w:before="20" w:after="190"/>
      </w:pPr>
      <w:r>
        <w:rPr/>
        <w:t xml:space="preserve">Obowiązkowy</w:t>
      </w:r>
    </w:p>
    <w:p>
      <w:pPr>
        <w:keepNext w:val="1"/>
        <w:spacing w:after="10"/>
      </w:pPr>
      <w:r>
        <w:rPr>
          <w:b/>
          <w:bCs/>
        </w:rPr>
        <w:t xml:space="preserve">Poziom kształcenia: </w:t>
      </w:r>
    </w:p>
    <w:p>
      <w:pPr>
        <w:spacing w:before="20" w:after="190"/>
      </w:pPr>
      <w:r>
        <w:rPr/>
        <w:t xml:space="preserve">Studia II stopnia</w:t>
      </w:r>
    </w:p>
    <w:p>
      <w:pPr>
        <w:keepNext w:val="1"/>
        <w:spacing w:after="10"/>
      </w:pPr>
      <w:r>
        <w:rPr>
          <w:b/>
          <w:bCs/>
        </w:rPr>
        <w:t xml:space="preserve">Program: </w:t>
      </w:r>
    </w:p>
    <w:p>
      <w:pPr>
        <w:spacing w:before="20" w:after="190"/>
      </w:pPr>
      <w:r>
        <w:rPr/>
        <w:t xml:space="preserve">Biotechnologia</w:t>
      </w:r>
    </w:p>
    <w:p>
      <w:pPr>
        <w:keepNext w:val="1"/>
        <w:spacing w:after="10"/>
      </w:pPr>
      <w:r>
        <w:rPr>
          <w:b/>
          <w:bCs/>
        </w:rPr>
        <w:t xml:space="preserve">Grupa przedmiotów: </w:t>
      </w:r>
    </w:p>
    <w:p>
      <w:pPr>
        <w:spacing w:before="20" w:after="190"/>
      </w:pPr>
      <w:r>
        <w:rPr/>
        <w:t xml:space="preserve">Obowiązkowe</w:t>
      </w:r>
    </w:p>
    <w:p>
      <w:pPr>
        <w:keepNext w:val="1"/>
        <w:spacing w:after="10"/>
      </w:pPr>
      <w:r>
        <w:rPr>
          <w:b/>
          <w:bCs/>
        </w:rPr>
        <w:t xml:space="preserve">Kod przedmiotu: </w:t>
      </w:r>
    </w:p>
    <w:p>
      <w:pPr>
        <w:spacing w:before="20" w:after="190"/>
      </w:pPr>
      <w:r>
        <w:rPr/>
        <w:t xml:space="preserve">brak</w:t>
      </w:r>
    </w:p>
    <w:p>
      <w:pPr>
        <w:keepNext w:val="1"/>
        <w:spacing w:after="10"/>
      </w:pPr>
      <w:r>
        <w:rPr>
          <w:b/>
          <w:bCs/>
        </w:rPr>
        <w:t xml:space="preserve">Semestr nominalny: </w:t>
      </w:r>
    </w:p>
    <w:p>
      <w:pPr>
        <w:spacing w:before="20" w:after="190"/>
      </w:pPr>
      <w:r>
        <w:rPr/>
        <w:t xml:space="preserve">2 / rok ak. 2013/2014</w:t>
      </w:r>
    </w:p>
    <w:p>
      <w:pPr>
        <w:keepNext w:val="1"/>
        <w:spacing w:after="10"/>
      </w:pPr>
      <w:r>
        <w:rPr>
          <w:b/>
          <w:bCs/>
        </w:rPr>
        <w:t xml:space="preserve">Liczba punktów ECTS: </w:t>
      </w:r>
    </w:p>
    <w:p>
      <w:pPr>
        <w:spacing w:before="20" w:after="190"/>
      </w:pPr>
      <w:r>
        <w:rPr/>
        <w:t xml:space="preserve">3</w:t>
      </w:r>
    </w:p>
    <w:p>
      <w:pPr>
        <w:keepNext w:val="1"/>
        <w:spacing w:after="10"/>
      </w:pPr>
      <w:r>
        <w:rPr>
          <w:b/>
          <w:bCs/>
        </w:rPr>
        <w:t xml:space="preserve">Liczba godzin pracy studenta związanych z osiągnięciem efektów uczenia się: </w:t>
      </w:r>
    </w:p>
    <w:p>
      <w:pPr>
        <w:spacing w:before="20" w:after="190"/>
      </w:pPr>
      <w:r>
        <w:rPr/>
        <w:t xml:space="preserve">1.	godziny kontaktowe 30h, w tym:
a)	obecność na wykładach – 15h 
b)	obecność na seminariach – 15h
2.	przygotowanie i wygłoszenie prezentacji – 30h
3.	przygotowanie do egzaminu i obecność na egzaminie – 25h
Razem nakład pracy studenta: 85h, co odpowiada 3 punktom ECTS.
</w:t>
      </w:r>
    </w:p>
    <w:p>
      <w:pPr>
        <w:keepNext w:val="1"/>
        <w:spacing w:after="10"/>
      </w:pPr>
      <w:r>
        <w:rPr>
          <w:b/>
          <w:bCs/>
        </w:rPr>
        <w:t xml:space="preserve">Liczba punktów ECTS na zajęciach wymagających bezpośredniego udziału nauczycieli akademickich: </w:t>
      </w:r>
    </w:p>
    <w:p>
      <w:pPr>
        <w:spacing w:before="20" w:after="190"/>
      </w:pPr>
      <w:r>
        <w:rPr/>
        <w:t xml:space="preserve">1.	obecność na wykładach – 15h, 
2.	obecność na seminariach – 15h
Razem: 30h, co odpowiada 1 punktom ECTS.
</w:t>
      </w:r>
    </w:p>
    <w:p>
      <w:pPr>
        <w:keepNext w:val="1"/>
        <w:spacing w:after="10"/>
      </w:pPr>
      <w:r>
        <w:rPr>
          <w:b/>
          <w:bCs/>
        </w:rPr>
        <w:t xml:space="preserve">Język prowadzenia zajęć: </w:t>
      </w:r>
    </w:p>
    <w:p>
      <w:pPr>
        <w:spacing w:before="20" w:after="190"/>
      </w:pPr>
      <w:r>
        <w:rPr/>
        <w:t xml:space="preserve">polski</w:t>
      </w:r>
    </w:p>
    <w:p>
      <w:pPr>
        <w:keepNext w:val="1"/>
        <w:spacing w:after="10"/>
      </w:pPr>
      <w:r>
        <w:rPr>
          <w:b/>
          <w:bCs/>
        </w:rPr>
        <w:t xml:space="preserve">Liczba punktów ECTS, którą student uzyskuje w ramach zajęć o charakterze praktycznym: </w:t>
      </w:r>
    </w:p>
    <w:p>
      <w:pPr>
        <w:spacing w:before="20" w:after="190"/>
      </w:pPr>
      <w:r>
        <w:rPr/>
        <w:t xml:space="preserve">0</w:t>
      </w:r>
    </w:p>
    <w:p>
      <w:pPr>
        <w:keepNext w:val="1"/>
        <w:spacing w:after="10"/>
      </w:pPr>
      <w:r>
        <w:rPr>
          <w:b/>
          <w:bCs/>
        </w:rPr>
        <w:t xml:space="preserve">Formy zajęć i ich wymiar w semestrze: </w:t>
      </w:r>
    </w:p>
    <w:tbl>
      <w:tblGrid>
        <w:gridCol w:w="2200" w:type="dxa"/>
        <w:gridCol w:w="2200" w:type="dxa"/>
      </w:tblGrid>
      <w:tblPr>
        <w:tblW w:w="2500" w:type="auto"/>
        <w:tblBorders>
          <w:top w:val="single" w:sz="0" w:color="FFFFFF"/>
          <w:left w:val="single" w:sz="0" w:color="FFFFFF"/>
          <w:right w:val="single" w:sz="0" w:color="FFFFFF"/>
          <w:bottom w:val="single" w:sz="0" w:color="FFFFFF"/>
          <w:insideH w:val="single" w:sz="0" w:color="FFFFFF"/>
          <w:insideV w:val="single" w:sz="0" w:color="FFFFFF"/>
        </w:tblBorders>
      </w:tblPr>
      <w:tr>
        <w:trPr>
          <w:trHeight w:val="250" w:hRule="atLeast"/>
        </w:trPr>
        <w:tc>
          <w:tcPr>
            <w:tcW w:w="2200" w:type="dxa"/>
          </w:tcPr>
          <w:p>
            <w:pPr/>
            <w:r>
              <w:rPr/>
              <w:t xml:space="preserve">Wykład: </w:t>
            </w:r>
          </w:p>
        </w:tc>
        <w:tc>
          <w:tcPr>
            <w:tcW w:w="2200" w:type="dxa"/>
          </w:tcPr>
          <w:p>
            <w:pPr/>
            <w:r>
              <w:rPr/>
              <w:t xml:space="preserve">15h</w:t>
            </w:r>
          </w:p>
        </w:tc>
      </w:tr>
      <w:tr>
        <w:trPr>
          <w:trHeight w:val="250" w:hRule="atLeast"/>
        </w:trPr>
        <w:tc>
          <w:tcPr>
            <w:tcW w:w="2200" w:type="dxa"/>
          </w:tcPr>
          <w:p>
            <w:pPr/>
            <w:r>
              <w:rPr/>
              <w:t xml:space="preserve">Ćwiczenia: </w:t>
            </w:r>
          </w:p>
        </w:tc>
        <w:tc>
          <w:tcPr>
            <w:tcW w:w="2200" w:type="dxa"/>
          </w:tcPr>
          <w:p>
            <w:pPr/>
            <w:r>
              <w:rPr/>
              <w:t xml:space="preserve">15h</w:t>
            </w:r>
          </w:p>
        </w:tc>
      </w:tr>
      <w:tr>
        <w:trPr>
          <w:trHeight w:val="250" w:hRule="atLeast"/>
        </w:trPr>
        <w:tc>
          <w:tcPr>
            <w:tcW w:w="2200" w:type="dxa"/>
          </w:tcPr>
          <w:p>
            <w:pPr/>
            <w:r>
              <w:rPr/>
              <w:t xml:space="preserve">Laboratorium: </w:t>
            </w:r>
          </w:p>
        </w:tc>
        <w:tc>
          <w:tcPr>
            <w:tcW w:w="2200" w:type="dxa"/>
          </w:tcPr>
          <w:p>
            <w:pPr/>
            <w:r>
              <w:rPr/>
              <w:t xml:space="preserve">0h</w:t>
            </w:r>
          </w:p>
        </w:tc>
      </w:tr>
      <w:tr>
        <w:trPr>
          <w:trHeight w:val="250" w:hRule="atLeast"/>
        </w:trPr>
        <w:tc>
          <w:tcPr>
            <w:tcW w:w="2200" w:type="dxa"/>
          </w:tcPr>
          <w:p>
            <w:pPr/>
            <w:r>
              <w:rPr/>
              <w:t xml:space="preserve">Projekt: </w:t>
            </w:r>
          </w:p>
        </w:tc>
        <w:tc>
          <w:tcPr>
            <w:tcW w:w="2200" w:type="dxa"/>
          </w:tcPr>
          <w:p>
            <w:pPr/>
            <w:r>
              <w:rPr/>
              <w:t xml:space="preserve">0h</w:t>
            </w:r>
          </w:p>
        </w:tc>
      </w:tr>
      <w:tr>
        <w:trPr>
          <w:trHeight w:val="250" w:hRule="atLeast"/>
        </w:trPr>
        <w:tc>
          <w:tcPr>
            <w:tcW w:w="2200" w:type="dxa"/>
          </w:tcPr>
          <w:p>
            <w:pPr/>
            <w:r>
              <w:rPr/>
              <w:t xml:space="preserve">Lekcje komputerowe: </w:t>
            </w:r>
          </w:p>
        </w:tc>
        <w:tc>
          <w:tcPr>
            <w:tcW w:w="2200" w:type="dxa"/>
          </w:tcPr>
          <w:p>
            <w:pPr/>
            <w:r>
              <w:rPr/>
              <w:t xml:space="preserve">0h</w:t>
            </w:r>
          </w:p>
        </w:tc>
      </w:tr>
    </w:tbl>
    <w:p/>
    <w:p>
      <w:pPr>
        <w:keepNext w:val="1"/>
        <w:spacing w:after="10"/>
      </w:pPr>
      <w:r>
        <w:rPr>
          <w:b/>
          <w:bCs/>
        </w:rPr>
        <w:t xml:space="preserve">Wymagania wstępne: </w:t>
      </w:r>
    </w:p>
    <w:p>
      <w:pPr>
        <w:spacing w:before="20" w:after="190"/>
      </w:pPr>
      <w:r>
        <w:rPr/>
        <w:t xml:space="preserve">Chemia analityczna</w:t>
      </w:r>
    </w:p>
    <w:p>
      <w:pPr>
        <w:keepNext w:val="1"/>
        <w:spacing w:after="10"/>
      </w:pPr>
      <w:r>
        <w:rPr>
          <w:b/>
          <w:bCs/>
        </w:rPr>
        <w:t xml:space="preserve">Limit liczby studentów: </w:t>
      </w:r>
    </w:p>
    <w:p>
      <w:pPr>
        <w:spacing w:before="20" w:after="190"/>
      </w:pPr>
      <w:r>
        <w:rPr/>
        <w:t xml:space="preserve">brak</w:t>
      </w:r>
    </w:p>
    <w:p>
      <w:pPr>
        <w:keepNext w:val="1"/>
        <w:spacing w:after="10"/>
      </w:pPr>
      <w:r>
        <w:rPr>
          <w:b/>
          <w:bCs/>
        </w:rPr>
        <w:t xml:space="preserve">Cel przedmiotu: </w:t>
      </w:r>
    </w:p>
    <w:p>
      <w:pPr>
        <w:spacing w:before="20" w:after="190"/>
      </w:pPr>
      <w:r>
        <w:rPr/>
        <w:t xml:space="preserve">Po ukończeniu kursu student powinien:
•	mieć ogólną wiedzę teoretyczną na temat analitycznej kontroli procesowej w biotechnologii,
•	znać techniki analityczne stosowane w kontroli procesowej, sposoby pobierania próbek oraz podstawowe aspekty dotyczące walidacji metod analitycznych,
•	dokonać optymalizacji oraz oceny ekonomicznej kontroli analitycznej dla danego procesu biotechnologicznego.
</w:t>
      </w:r>
    </w:p>
    <w:p>
      <w:pPr>
        <w:keepNext w:val="1"/>
        <w:spacing w:after="10"/>
      </w:pPr>
      <w:r>
        <w:rPr>
          <w:b/>
          <w:bCs/>
        </w:rPr>
        <w:t xml:space="preserve">Treści kształcenia: </w:t>
      </w:r>
    </w:p>
    <w:p>
      <w:pPr>
        <w:spacing w:before="20" w:after="190"/>
      </w:pPr>
      <w:r>
        <w:rPr/>
        <w:t xml:space="preserve"> Wykład prezentuje podstawowe zadania analizy procesowej, a także zagadnienia związane z optymalizacją, oceną ekonomiczną oraz najnowszymi trendami analizy procesowej, ze szczególnym uwzględnieniem procesów biotechnologicznych. Omówione będą techniki analityczne (np., „mokra” analiza chemiczna, techniki spektroskopowe i immunologiczne, (bio)sensory), stosowane w kontroli procesowej wraz z podaniem przykładów. Zaakcentowane zostaną problemy związane z odpowiednim pobieraniem próbek oraz zasygnalizowane podstawowe aspekty dotyczące walidacji metod analitycznych.</w:t>
      </w:r>
    </w:p>
    <w:p>
      <w:pPr>
        <w:keepNext w:val="1"/>
        <w:spacing w:after="10"/>
      </w:pPr>
      <w:r>
        <w:rPr>
          <w:b/>
          <w:bCs/>
        </w:rPr>
        <w:t xml:space="preserve">Metody oceny: </w:t>
      </w:r>
    </w:p>
    <w:p>
      <w:pPr>
        <w:spacing w:before="20" w:after="190"/>
      </w:pPr>
      <w:r>
        <w:rPr/>
        <w:t xml:space="preserve">egzamin pisemny</w:t>
      </w:r>
    </w:p>
    <w:p>
      <w:pPr>
        <w:keepNext w:val="1"/>
        <w:spacing w:after="10"/>
      </w:pPr>
      <w:r>
        <w:rPr>
          <w:b/>
          <w:bCs/>
        </w:rPr>
        <w:t xml:space="preserve">Egzamin: </w:t>
      </w:r>
    </w:p>
    <w:p>
      <w:pPr>
        <w:spacing w:before="20" w:after="190"/>
      </w:pPr>
      <w:r>
        <w:rPr/>
        <w:t xml:space="preserve">tak</w:t>
      </w:r>
    </w:p>
    <w:p>
      <w:pPr>
        <w:keepNext w:val="1"/>
        <w:spacing w:after="10"/>
      </w:pPr>
      <w:r>
        <w:rPr>
          <w:b/>
          <w:bCs/>
        </w:rPr>
        <w:t xml:space="preserve">Literatura: </w:t>
      </w:r>
    </w:p>
    <w:p>
      <w:pPr>
        <w:spacing w:before="20" w:after="190"/>
      </w:pPr>
      <w:r>
        <w:rPr/>
        <w:t xml:space="preserve">1.	F. McLennan, B. Kowalski, Process Analytical Chemistry, Blackie Academic &amp; Professional, London 1995.
2.	M. Trojanowicz, Automatyzacja w analizie chemicznej,
WNT, 1992.
3.	W. Szczepaniak, Metody Instrumentalne w Analizie Chemicznej, PWN, Warszawa 2004.
</w:t>
      </w:r>
    </w:p>
    <w:p>
      <w:pPr>
        <w:keepNext w:val="1"/>
        <w:spacing w:after="10"/>
      </w:pPr>
      <w:r>
        <w:rPr>
          <w:b/>
          <w:bCs/>
        </w:rPr>
        <w:t xml:space="preserve">Witryna www przedmiotu: </w:t>
      </w:r>
    </w:p>
    <w:p>
      <w:pPr>
        <w:spacing w:before="20" w:after="190"/>
      </w:pPr>
      <w:r>
        <w:rPr/>
        <w:t xml:space="preserve">ch.pw.edu.pl</w:t>
      </w:r>
    </w:p>
    <w:p>
      <w:pPr>
        <w:keepNext w:val="1"/>
        <w:spacing w:after="10"/>
      </w:pPr>
      <w:r>
        <w:rPr>
          <w:b/>
          <w:bCs/>
        </w:rPr>
        <w:t xml:space="preserve">Uwagi: </w:t>
      </w:r>
    </w:p>
    <w:p>
      <w:pPr>
        <w:spacing w:before="20" w:after="190"/>
      </w:pPr>
      <w:r>
        <w:rPr/>
        <w:t xml:space="preserve"/>
      </w:r>
    </w:p>
    <w:p>
      <w:pPr>
        <w:pStyle w:val="Heading2"/>
      </w:pPr>
      <w:bookmarkStart w:id="1" w:name="_Toc1"/>
      <w:r>
        <w:t>Efekty przedmiotowe</w:t>
      </w:r>
      <w:bookmarkEnd w:id="1"/>
    </w:p>
    <w:p>
      <w:pPr>
        <w:pStyle w:val="Heading3"/>
      </w:pPr>
      <w:bookmarkStart w:id="2" w:name="_Toc2"/>
      <w:r>
        <w:t>Profil ogólnoakademicki - wiedza</w:t>
      </w:r>
      <w:bookmarkEnd w:id="2"/>
    </w:p>
    <w:p>
      <w:pPr>
        <w:keepNext w:val="1"/>
        <w:spacing w:after="10"/>
      </w:pPr>
      <w:r>
        <w:rPr>
          <w:b/>
          <w:bCs/>
        </w:rPr>
        <w:t xml:space="preserve">Efekt W01: </w:t>
      </w:r>
    </w:p>
    <w:p>
      <w:pPr/>
      <w:r>
        <w:rPr/>
        <w:t xml:space="preserve">zna specyfikę metod analitycznych stosowanych w analizie procesowej</w:t>
      </w:r>
    </w:p>
    <w:p>
      <w:pPr>
        <w:spacing w:before="60"/>
      </w:pPr>
      <w:r>
        <w:rPr/>
        <w:t xml:space="preserve">Weryfikacja: </w:t>
      </w:r>
    </w:p>
    <w:p>
      <w:pPr>
        <w:spacing w:before="20" w:after="190"/>
      </w:pPr>
      <w:r>
        <w:rPr/>
        <w:t xml:space="preserve">egzamin, prezentacja</w:t>
      </w:r>
    </w:p>
    <w:p>
      <w:pPr>
        <w:spacing w:before="20" w:after="190"/>
      </w:pPr>
      <w:r>
        <w:rPr>
          <w:b/>
          <w:bCs/>
        </w:rPr>
        <w:t xml:space="preserve">Powiązane efekty kierunkowe: </w:t>
      </w:r>
      <w:r>
        <w:rPr/>
        <w:t xml:space="preserve">K_W01, K_W09</w:t>
      </w:r>
    </w:p>
    <w:p>
      <w:pPr>
        <w:spacing w:before="20" w:after="190"/>
      </w:pPr>
      <w:r>
        <w:rPr>
          <w:b/>
          <w:bCs/>
        </w:rPr>
        <w:t xml:space="preserve">Powiązane efekty obszarowe: </w:t>
      </w:r>
      <w:r>
        <w:rPr/>
        <w:t xml:space="preserve">T2A_W01, T2A_W03, T2A_W05, T2A_W06</w:t>
      </w:r>
    </w:p>
    <w:p>
      <w:pPr>
        <w:keepNext w:val="1"/>
        <w:spacing w:after="10"/>
      </w:pPr>
      <w:r>
        <w:rPr>
          <w:b/>
          <w:bCs/>
        </w:rPr>
        <w:t xml:space="preserve">Efekt W02: </w:t>
      </w:r>
    </w:p>
    <w:p>
      <w:pPr/>
      <w:r>
        <w:rPr/>
        <w:t xml:space="preserve">zna specyfikę metod analitycznych stosowanych w analizie procesowej zna techniki analityczne stosowane w kontroli procesowej, sposoby pobierania próbek oraz podstawowe aspekty dotyczące walidacji metod analitycznych</w:t>
      </w:r>
    </w:p>
    <w:p>
      <w:pPr>
        <w:spacing w:before="60"/>
      </w:pPr>
      <w:r>
        <w:rPr/>
        <w:t xml:space="preserve">Weryfikacja: </w:t>
      </w:r>
    </w:p>
    <w:p>
      <w:pPr>
        <w:spacing w:before="20" w:after="190"/>
      </w:pPr>
      <w:r>
        <w:rPr/>
        <w:t xml:space="preserve">egzamin, prezentacja</w:t>
      </w:r>
    </w:p>
    <w:p>
      <w:pPr>
        <w:spacing w:before="20" w:after="190"/>
      </w:pPr>
      <w:r>
        <w:rPr>
          <w:b/>
          <w:bCs/>
        </w:rPr>
        <w:t xml:space="preserve">Powiązane efekty kierunkowe: </w:t>
      </w:r>
      <w:r>
        <w:rPr/>
        <w:t xml:space="preserve">K_W01, K_W09</w:t>
      </w:r>
    </w:p>
    <w:p>
      <w:pPr>
        <w:spacing w:before="20" w:after="190"/>
      </w:pPr>
      <w:r>
        <w:rPr>
          <w:b/>
          <w:bCs/>
        </w:rPr>
        <w:t xml:space="preserve">Powiązane efekty obszarowe: </w:t>
      </w:r>
      <w:r>
        <w:rPr/>
        <w:t xml:space="preserve">T2A_W01, T2A_W03, T2A_W05, T2A_W06</w:t>
      </w:r>
    </w:p>
    <w:p>
      <w:pPr>
        <w:pStyle w:val="Heading3"/>
      </w:pPr>
      <w:bookmarkStart w:id="3" w:name="_Toc3"/>
      <w:r>
        <w:t>Profil ogólnoakademicki - umiejętności</w:t>
      </w:r>
      <w:bookmarkEnd w:id="3"/>
    </w:p>
    <w:p>
      <w:pPr>
        <w:keepNext w:val="1"/>
        <w:spacing w:after="10"/>
      </w:pPr>
      <w:r>
        <w:rPr>
          <w:b/>
          <w:bCs/>
        </w:rPr>
        <w:t xml:space="preserve">Efekt U01: </w:t>
      </w:r>
    </w:p>
    <w:p>
      <w:pPr/>
      <w:r>
        <w:rPr/>
        <w:t xml:space="preserve">potrafi dokonać optymalizacji oraz oceny ekonomicznej kontroli analitycznej dla procesu biotechnologicznego</w:t>
      </w:r>
    </w:p>
    <w:p>
      <w:pPr>
        <w:spacing w:before="60"/>
      </w:pPr>
      <w:r>
        <w:rPr/>
        <w:t xml:space="preserve">Weryfikacja: </w:t>
      </w:r>
    </w:p>
    <w:p>
      <w:pPr>
        <w:spacing w:before="20" w:after="190"/>
      </w:pPr>
      <w:r>
        <w:rPr/>
        <w:t xml:space="preserve">prezentacja</w:t>
      </w:r>
    </w:p>
    <w:p>
      <w:pPr>
        <w:spacing w:before="20" w:after="190"/>
      </w:pPr>
      <w:r>
        <w:rPr>
          <w:b/>
          <w:bCs/>
        </w:rPr>
        <w:t xml:space="preserve">Powiązane efekty kierunkowe: </w:t>
      </w:r>
      <w:r>
        <w:rPr/>
        <w:t xml:space="preserve">K_U10, K_U13, K_U17</w:t>
      </w:r>
    </w:p>
    <w:p>
      <w:pPr>
        <w:spacing w:before="20" w:after="190"/>
      </w:pPr>
      <w:r>
        <w:rPr>
          <w:b/>
          <w:bCs/>
        </w:rPr>
        <w:t xml:space="preserve">Powiązane efekty obszarowe: </w:t>
      </w:r>
      <w:r>
        <w:rPr/>
        <w:t xml:space="preserve">T2A_U08, T2A_U09, T2A_U11, T2A_U13, T2A_U15</w:t>
      </w:r>
    </w:p>
    <w:p>
      <w:pPr>
        <w:keepNext w:val="1"/>
        <w:spacing w:after="10"/>
      </w:pPr>
      <w:r>
        <w:rPr>
          <w:b/>
          <w:bCs/>
        </w:rPr>
        <w:t xml:space="preserve">Efekt U02: </w:t>
      </w:r>
    </w:p>
    <w:p>
      <w:pPr/>
      <w:r>
        <w:rPr/>
        <w:t xml:space="preserve">Potrafi przygotować i przedstawić ustną prezentację z zakresu studiowanego zagadnienia</w:t>
      </w:r>
    </w:p>
    <w:p>
      <w:pPr>
        <w:spacing w:before="60"/>
      </w:pPr>
      <w:r>
        <w:rPr/>
        <w:t xml:space="preserve">Weryfikacja: </w:t>
      </w:r>
    </w:p>
    <w:p>
      <w:pPr>
        <w:spacing w:before="20" w:after="190"/>
      </w:pPr>
      <w:r>
        <w:rPr/>
        <w:t xml:space="preserve">prezentacja</w:t>
      </w:r>
    </w:p>
    <w:p>
      <w:pPr>
        <w:spacing w:before="20" w:after="190"/>
      </w:pPr>
      <w:r>
        <w:rPr>
          <w:b/>
          <w:bCs/>
        </w:rPr>
        <w:t xml:space="preserve">Powiązane efekty kierunkowe: </w:t>
      </w:r>
      <w:r>
        <w:rPr/>
        <w:t xml:space="preserve">K_U01, K_U06</w:t>
      </w:r>
    </w:p>
    <w:p>
      <w:pPr>
        <w:spacing w:before="20" w:after="190"/>
      </w:pPr>
      <w:r>
        <w:rPr>
          <w:b/>
          <w:bCs/>
        </w:rPr>
        <w:t xml:space="preserve">Powiązane efekty obszarowe: </w:t>
      </w:r>
      <w:r>
        <w:rPr/>
        <w:t xml:space="preserve">T2A_U01, T2A_U05, T2A_U10, T2A_U04</w:t>
      </w:r>
    </w:p>
    <w:p>
      <w:pPr>
        <w:pStyle w:val="Heading3"/>
      </w:pPr>
      <w:bookmarkStart w:id="4" w:name="_Toc4"/>
      <w:r>
        <w:t>Profil ogólnoakademicki - kompetencje społeczne</w:t>
      </w:r>
      <w:bookmarkEnd w:id="4"/>
    </w:p>
    <w:p>
      <w:pPr>
        <w:keepNext w:val="1"/>
        <w:spacing w:after="10"/>
      </w:pPr>
      <w:r>
        <w:rPr>
          <w:b/>
          <w:bCs/>
        </w:rPr>
        <w:t xml:space="preserve">Efekt K01: </w:t>
      </w:r>
    </w:p>
    <w:p>
      <w:pPr/>
      <w:r>
        <w:rPr/>
        <w:t xml:space="preserve">potrafi pracować samodzielnie studiując wybrane zagadnienie oraz wybierając najważniejsze elementy w celu ich publicznego zaprezentowania</w:t>
      </w:r>
    </w:p>
    <w:p>
      <w:pPr>
        <w:spacing w:before="60"/>
      </w:pPr>
      <w:r>
        <w:rPr/>
        <w:t xml:space="preserve">Weryfikacja: </w:t>
      </w:r>
    </w:p>
    <w:p>
      <w:pPr>
        <w:spacing w:before="20" w:after="190"/>
      </w:pPr>
      <w:r>
        <w:rPr/>
        <w:t xml:space="preserve">prezentacja</w:t>
      </w:r>
    </w:p>
    <w:p>
      <w:pPr>
        <w:spacing w:before="20" w:after="190"/>
      </w:pPr>
      <w:r>
        <w:rPr>
          <w:b/>
          <w:bCs/>
        </w:rPr>
        <w:t xml:space="preserve">Powiązane efekty kierunkowe: </w:t>
      </w:r>
      <w:r>
        <w:rPr/>
        <w:t xml:space="preserve">K_K02</w:t>
      </w:r>
    </w:p>
    <w:p>
      <w:pPr>
        <w:spacing w:before="20" w:after="190"/>
      </w:pPr>
      <w:r>
        <w:rPr>
          <w:b/>
          <w:bCs/>
        </w:rPr>
        <w:t xml:space="preserve">Powiązane efekty obszarowe: </w:t>
      </w:r>
      <w:r>
        <w:rPr/>
        <w:t xml:space="preserve">T2A_K06</w:t>
      </w:r>
    </w:p>
    <w:sectPr>
      <w:pgSz w:orient="portrait" w:w="11905.511811023622" w:h="16837.79527559055"/>
      <w:pgMar w:top="1440" w:right="1440" w:bottom="1440" w:left="1440" w:header="720" w:footer="720" w:gutter="0"/>
      <w:cols w:num="1" w:space="720"/>
    </w:sectPr>
  </w:body>
</w:document>
</file>

<file path=word/comments.xml><?xml version="1.0" encoding="utf-8"?>
<w:comments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/>
</file>

<file path=word/fontTable.xml><?xml version="1.0" encoding="utf-8"?>
<w:fonts xmlns:r="http://schemas.openxmlformats.org/officeDocument/2006/relationships" xmlns:w="http://schemas.openxmlformats.org/wordprocessingml/2006/main">
  <w:font w:name="Times New Roman">
    <w:panose1 w:val="02020603050405020304"/>
    <w:charset w:val="00"/>
    <w:family w:val="roman"/>
    <w:pitch w:val="variable"/>
    <w:sig w:usb0="E0002AFF" w:usb1="C0007841" w:usb2="00000009" w:usb3="00000000" w:csb0="000001FF" w:csb1="00000000"/>
  </w:font>
  <w:font w:name="Courier New">
    <w:panose1 w:val="02070309020205020404"/>
    <w:charset w:val="00"/>
    <w:family w:val="modern"/>
    <w:pitch w:val="fixed"/>
    <w:sig w:usb0="E0002AFF" w:usb1="C0007843" w:usb2="00000009" w:usb3="00000000" w:csb0="000001FF" w:csb1="00000000"/>
  </w:font>
  <w:font w:name="Wingdings">
    <w:panose1 w:val="05000000000000000000"/>
    <w:charset w:val="02"/>
    <w:family w:val="auto"/>
    <w:pitch w:val="variable"/>
    <w:sig w:usb0="00000000" w:usb1="10000000" w:usb2="00000000" w:usb3="00000000" w:csb0="80000000" w:csb1="00000000"/>
  </w:font>
  <w:font w:name="Symbol">
    <w:panose1 w:val="05050102010706020507"/>
    <w:charset w:val="02"/>
    <w:family w:val="roman"/>
    <w:pitch w:val="variable"/>
    <w:sig w:usb0="00000000" w:usb1="10000000" w:usb2="00000000" w:usb3="00000000" w:csb0="80000000" w:csb1="00000000"/>
  </w:font>
  <w:font w:name="Arial">
    <w:panose1 w:val="020B0604020202020204"/>
    <w:charset w:val="00"/>
    <w:family w:val="swiss"/>
    <w:pitch w:val="variable"/>
    <w:sig w:usb0="E0002AFF" w:usb1="C0007843" w:usb2="00000009" w:usb3="00000000" w:csb0="000001FF" w:csb1="00000000"/>
  </w:font>
  <w:font w:name="Cambria">
    <w:panose1 w:val="02040503050406030204"/>
    <w:charset w:val="00"/>
    <w:family w:val="roman"/>
    <w:pitch w:val="variable"/>
    <w:sig w:usb0="A00002EF" w:usb1="4000004B" w:usb2="00000000" w:usb3="00000000" w:csb0="0000019F" w:csb1="00000000"/>
  </w:font>
  <w:font w:name="Calibri">
    <w:panose1 w:val="020F0502020204030204"/>
    <w:charset w:val="00"/>
    <w:family w:val="swiss"/>
    <w:pitch w:val="variable"/>
    <w:sig w:usb0="E10002FF" w:usb1="4000ACFF" w:usb2="00000009" w:usb3="00000000" w:csb0="0000019F" w:csb1="00000000"/>
  </w:font>
</w:fonts>
</file>

<file path=word/numbering.xml><?xml version="1.0" encoding="utf-8"?>
<w:numbering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/>
</file>

<file path=word/settings.xml><?xml version="1.0" encoding="utf-8"?>
<w:settings xmlns:r="http://schemas.openxmlformats.org/officeDocument/2006/relationships" xmlns:w="http://schemas.openxmlformats.org/wordprocessingml/2006/main" xmlns:m="http://schemas.openxmlformats.org/officeDocument/2006/math" xmlns:sl="http://schemas.openxmlformats.org/schemaLibrary/2006/main" xmlns:o="urn:schemas-microsoft-com:office:office" xmlns:v="urn:schemas-microsoft-com:vml" xmlns:w10="urn:schemas-microsoft-com:office:word">
  <w:defaultTabStop w:val="708"/>
  <w:hyphenationZone w:val="425"/>
  <w:characterSpacingControl w:val="doNotCompress"/>
  <w:decimalSymbol w:val="."/>
  <w:listSeparator w:val=";"/>
  <w:compat>
    <w:compatSetting w:name="compatibilityMode" w:uri="http://schemas.microsoft.com/office/word" w:val="12"/>
  </w:compat>
  <m:mathPr>
    <m:mathFont m:val="Cambria Math"/>
    <m:brkBin m:val="before"/>
    <m:brkBinSub m:val="--"/>
    <m:smallFrac m:val="off"/>
    <m:dispDef/>
    <m:lMargin m:val="0"/>
    <m:rMargin m:val="0"/>
    <m:defJc m:val="centerGroup"/>
    <m:wrapIndent m:val="1440"/>
    <m:intLim m:val="subSup"/>
    <m:naryLim m:val="undOvr"/>
  </m:mathPr>
  <w:clrSchemeMapping w:bg1="light1" w:t1="dark1" w:bg2="light2" w:t2="dark2" w:accent1="accent1" w:accent2="accent2" w:accent3="accent3" w:accent4="accent4" w:accent5="accent5" w:accent6="accent6" w:hyperlink="hyperlink" w:followedHyperlink="followedHyperlink"/>
  <w:hideSpellingErrors w:val="false"/>
  <w:hideGrammaticalErrors w:val="false"/>
  <w:trackRevisions w:val="false"/>
  <w:doNotTrackMoves w:val="false"/>
  <w:doNotTrackFormatting w:val="false"/>
  <w:evenAndOddHeaders w:val="false"/>
  <w:updateFields w:val="false"/>
  <w:themeFontLang w:val="en-US"/>
  <w:zoom w:percent="100"/>
</w:settings>
</file>

<file path=word/styles.xml><?xml version="1.0" encoding="utf-8"?>
<w:styles xmlns:r="http://schemas.openxmlformats.org/officeDocument/2006/relationships" xmlns:w="http://schemas.openxmlformats.org/wordprocessingml/2006/main">
  <w:docDefaults>
    <w:rPrDefault>
      <w:rPr>
        <w:rFonts w:ascii="Arial" w:hAnsi="Arial" w:eastAsia="Arial" w:cs="Arial"/>
        <w:sz w:val="20"/>
        <w:szCs w:val="20"/>
        <w:lang w:val="en-US"/>
      </w:rPr>
    </w:rPrDefault>
  </w:docDefaults>
  <w:style w:type="paragraph" w:default="1" w:styleId="Normal">
    <w:name w:val="Normal"/>
  </w:style>
  <w:style w:type="character" w:styleId="FootnoteReference">
    <w:name w:val="Footnote Reference"/>
    <w:semiHidden/>
    <w:unhideWhenUsed/>
    <w:rPr>
      <w:vertAlign w:val="superscript"/>
    </w:rPr>
  </w:style>
  <w:style w:type="paragraph" w:styleId="Heading2">
    <w:link w:val="Heading2Char"/>
    <w:name w:val="heading 2"/>
    <w:basedOn w:val="Normal"/>
    <w:pPr>
      <w:spacing w:before="40" w:after="190"/>
    </w:pPr>
    <w:rPr>
      <w:sz w:val="34"/>
      <w:szCs w:val="34"/>
      <w:b/>
      <w:bCs/>
    </w:rPr>
  </w:style>
  <w:style w:type="paragraph" w:styleId="Heading3">
    <w:link w:val="Heading3Char"/>
    <w:name w:val="heading 3"/>
    <w:basedOn w:val="Normal"/>
    <w:pPr>
      <w:spacing w:before="40" w:after="190"/>
    </w:pPr>
    <w:rPr>
      <w:sz w:val="26"/>
      <w:szCs w:val="26"/>
      <w:b/>
      <w:bCs/>
    </w:rPr>
  </w:style>
</w:styles>
</file>

<file path=word/webSettings.xml><?xml version="1.0" encoding="utf-8"?>
<w:webSettings xmlns:r="http://schemas.openxmlformats.org/officeDocument/2006/relationships" xmlns:w="http://schemas.openxmlformats.org/wordprocessingml/2006/main">
  <w:optimizeForBrowser/>
</w:webSettings>
</file>

<file path=word/_rels/document.xml.rels><?xml version="1.0" encoding="UTF-8" standalone="yes"?>
<Relationships xmlns="http://schemas.openxmlformats.org/package/2006/relationships"><Relationship Id="rId1" Type="http://schemas.openxmlformats.org/officeDocument/2006/relationships/styles" Target="styles.xml"/><Relationship Id="rId2" Type="http://schemas.openxmlformats.org/officeDocument/2006/relationships/numbering" Target="numbering.xml"/><Relationship Id="rId3" Type="http://schemas.openxmlformats.org/officeDocument/2006/relationships/settings" Target="settings.xml"/><Relationship Id="rId4" Type="http://schemas.openxmlformats.org/officeDocument/2006/relationships/theme" Target="theme/theme1.xml"/><Relationship Id="rId5" Type="http://schemas.openxmlformats.org/officeDocument/2006/relationships/webSettings" Target="webSettings.xml"/><Relationship Id="rId6" Type="http://schemas.openxmlformats.org/officeDocument/2006/relationships/fontTable" Target="fontTable.xml"/></Relationships>
</file>

<file path=word/theme/theme1.xml><?xml version="1.0" encoding="utf-8"?>
<a:theme xmlns:a="http://schemas.openxmlformats.org/drawingml/2006/main" name="Office Theme">
  <a:themeElements>
    <a:clrScheme name="Office">
      <a:dk1>
        <a:sysClr val="windowText" lastClr="000000"/>
      </a:dk1>
      <a:lt1>
        <a:sysClr val="window" lastClr="FFFFFF"/>
      </a:lt1>
      <a:dk2>
        <a:srgbClr val="1F497D"/>
      </a:dk2>
      <a:lt2>
        <a:srgbClr val="EEECE1"/>
      </a:lt2>
      <a:accent1>
        <a:srgbClr val="4F81BD"/>
      </a:accent1>
      <a:accent2>
        <a:srgbClr val="C0504D"/>
      </a:accent2>
      <a:accent3>
        <a:srgbClr val="9BBB59"/>
      </a:accent3>
      <a:accent4>
        <a:srgbClr val="8064A2"/>
      </a:accent4>
      <a:accent5>
        <a:srgbClr val="4BACC6"/>
      </a:accent5>
      <a:accent6>
        <a:srgbClr val="F79646"/>
      </a:accent6>
      <a:hlink>
        <a:srgbClr val="0000FF"/>
      </a:hlink>
      <a:folHlink>
        <a:srgbClr val="800080"/>
      </a:folHlink>
    </a:clrScheme>
    <a:fontScheme name="Office">
      <a:majorFont>
        <a:latin typeface="Cambria"/>
        <a:ea typeface=""/>
        <a:cs typeface=""/>
        <a:font script="Jpan" typeface="ＭＳ ゴシック"/>
        <a:font script="Hang" typeface="맑은 고딕"/>
        <a:font script="Hans" typeface="宋体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</a:majorFont>
      <a:minorFont>
        <a:latin typeface="Calibri"/>
        <a:ea typeface=""/>
        <a:cs typeface=""/>
        <a:font script="Jpan" typeface="ＭＳ 明朝"/>
        <a:font script="Hang" typeface="맑은 고딕"/>
        <a:font script="Hans" typeface="宋体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tint val="50000"/>
                <a:satMod val="300000"/>
              </a:schemeClr>
            </a:gs>
            <a:gs pos="35000">
              <a:schemeClr val="phClr">
                <a:tint val="37000"/>
                <a:satMod val="300000"/>
              </a:schemeClr>
            </a:gs>
            <a:gs pos="100000">
              <a:schemeClr val="phClr">
                <a:tint val="15000"/>
                <a:satMod val="350000"/>
              </a:schemeClr>
            </a:gs>
          </a:gsLst>
          <a:lin ang="16200000" scaled="1"/>
        </a:gradFill>
        <a:gradFill rotWithShape="1">
          <a:gsLst>
            <a:gs pos="0">
              <a:schemeClr val="phClr">
                <a:shade val="51000"/>
                <a:satMod val="130000"/>
              </a:schemeClr>
            </a:gs>
            <a:gs pos="80000">
              <a:schemeClr val="phClr">
                <a:shade val="93000"/>
                <a:satMod val="130000"/>
              </a:schemeClr>
            </a:gs>
            <a:gs pos="100000">
              <a:schemeClr val="phClr">
                <a:shade val="94000"/>
                <a:satMod val="135000"/>
              </a:schemeClr>
            </a:gs>
          </a:gsLst>
          <a:lin ang="16200000" scaled="0"/>
        </a:gradFill>
      </a:fillStyleLst>
      <a:lnStyleLst>
        <a:ln w="9525" cap="flat" cmpd="sng" algn="ctr">
          <a:solidFill>
            <a:schemeClr val="phClr">
              <a:shade val="95000"/>
              <a:satMod val="105000"/>
            </a:schemeClr>
          </a:solidFill>
          <a:prstDash val="solid"/>
        </a:ln>
        <a:ln w="25400" cap="flat" cmpd="sng" algn="ctr">
          <a:solidFill>
            <a:schemeClr val="phClr"/>
          </a:solidFill>
          <a:prstDash val="solid"/>
        </a:ln>
        <a:ln w="38100" cap="flat" cmpd="sng" algn="ctr">
          <a:solidFill>
            <a:schemeClr val="phClr"/>
          </a:solidFill>
          <a:prstDash val="solid"/>
        </a:ln>
      </a:lnStyleLst>
      <a:effectStyleLst>
        <a:effectStyle>
          <a:effectLst>
            <a:outerShdw blurRad="40000" dist="20000" dir="5400000" rotWithShape="0">
              <a:srgbClr val="000000">
                <a:alpha val="38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  <a:scene3d>
            <a:camera prst="orthographicFront">
              <a:rot lat="0" lon="0" rev="0"/>
            </a:camera>
            <a:lightRig rig="threePt" dir="t">
              <a:rot lat="0" lon="0" rev="1200000"/>
            </a:lightRig>
          </a:scene3d>
          <a:sp3d>
            <a:bevelT w="63500" h="25400"/>
          </a:sp3d>
        </a:effectStyle>
      </a:effectStyleLst>
      <a:bgFillStyleLst>
        <a:solidFill>
          <a:schemeClr val="phClr"/>
        </a:solidFill>
        <a:gradFill rotWithShape="1">
          <a:gsLst>
            <a:gs pos="0">
              <a:schemeClr val="phClr">
                <a:tint val="40000"/>
                <a:satMod val="350000"/>
              </a:schemeClr>
            </a:gs>
            <a:gs pos="40000">
              <a:schemeClr val="phClr">
                <a:tint val="45000"/>
                <a:shade val="99000"/>
                <a:satMod val="350000"/>
              </a:schemeClr>
            </a:gs>
            <a:gs pos="100000">
              <a:schemeClr val="phClr">
                <a:shade val="20000"/>
                <a:satMod val="255000"/>
              </a:schemeClr>
            </a:gs>
          </a:gsLst>
          <a:path path="circle">
            <a:fillToRect l="50000" t="-80000" r="50000" b="180000"/>
          </a:path>
        </a:gradFill>
        <a:gradFill rotWithShape="1">
          <a:gsLst>
            <a:gs pos="0">
              <a:schemeClr val="phClr">
                <a:tint val="80000"/>
                <a:satMod val="300000"/>
              </a:schemeClr>
            </a:gs>
            <a:gs pos="100000">
              <a:schemeClr val="phClr">
                <a:shade val="30000"/>
                <a:satMod val="200000"/>
              </a:schemeClr>
            </a:gs>
          </a:gsLst>
          <a:path path="circle">
            <a:fillToRect l="50000" t="50000" r="50000" b="50000"/>
          </a:path>
        </a:gradFill>
      </a:bgFillStyleLst>
    </a:fmtScheme>
  </a:themeElements>
  <a:objectDefaults/>
  <a:extraClrSchemeLst/>
</a:theme>
</file>

<file path=docProps/app.xml><?xml version="1.0" encoding="utf-8"?>
<Properties xmlns="http://schemas.openxmlformats.org/officeDocument/2006/extended-properties" xmlns:vt="http://schemas.openxmlformats.org/officeDocument/2006/docPropsVTypes">
  <Application>PHPWord</Application>
  <Company/>
  <Manager/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creator/>
  <dc:title/>
  <dc:description/>
  <dc:subject/>
  <cp:keywords/>
  <cp:category/>
  <cp:lastModifiedBy/>
  <dcterms:created xsi:type="dcterms:W3CDTF">2026-09-30T17:38:17+02:00</dcterms:created>
  <dcterms:modified xsi:type="dcterms:W3CDTF">2026-09-30T17:38:17+02:00</dcterms:modified>
</cp:coreProperties>
</file>

<file path=docProps/custom.xml><?xml version="1.0" encoding="utf-8"?>
<Properties xmlns="http://schemas.openxmlformats.org/officeDocument/2006/custom-properties" xmlns:vt="http://schemas.openxmlformats.org/officeDocument/2006/docPropsVTypes"/>
</file>