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i operacji jednostkowych, stosowanych przy odzysku i unieszkodliwianiu odpadów,
•	posiadać informacje oraz wiedzę w zakresie obróbki wstępnej odpadów, jej uwarunkowań; transportu wewnętrznego oraz stosowanych urządzeń w zakładach unieszkodliwiania odpadów (podajniki, transport kołowy); rozdrabniarek do odpadów, typów urządzeń, doboru urządzeń, sit, typów sit, doboru, elektromagnetycznych separatorów metali ferromagnetycznych, separatorów części twardych (szkła, ceramiki i kamieni z biomasy), typów urządzeń, zasady ich działania, doboru urządzeń, podstawowe, 
•	posiadać podstawowe umiejętności w zakresie zagadnień dotyczących taśm sortowniczych, rozdrabniania szkła, balotowanie papieru, tworzyw sztucznych itp., przygotowania odpadów i surowców wtórnych do transportu zewnętrznego,
•	posiadać podstawowe informacje w zakresie bioreaktorów do biologicznego przetwarzania odpadów – typów urządzeń (pryzmy, płyty fermentacyjne, komory, brykiety), urządzeń do przerzucania pryzm kompostowych: dobór urządzeń; 
•	posiadać wiedzę na temat systemów technologicznych do odgazowywania składowisk odpadów, urządzenia, systemów zbierania i unieszkodliwiania odcieków ze składowisk.
•	posiadać podstawowe umiejętności w zakresie zagadnień termicznego przetwarzania odpadów – typy obiektów i stosowane urządzenia.
</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i operacje jednostkowe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keepNext w:val="1"/>
        <w:spacing w:after="10"/>
      </w:pPr>
      <w:r>
        <w:rPr>
          <w:b/>
          <w:bCs/>
        </w:rPr>
        <w:t xml:space="preserve">Efekt W02: </w:t>
      </w:r>
    </w:p>
    <w:p>
      <w:pPr/>
      <w:r>
        <w:rPr/>
        <w:t xml:space="preserve">zna najważniejsze urządzenia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oceniać ich rzetelność i wyciągać z nich wnioski, formułować i wyczerpująco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potrafi pozyskiwać i rozumie informacje z literatury, baz danych i innych źródeł; potrafi interpretować uzyskane informacje, oceniać ich rzetelność i wyciągać z nich wnioski, formułować i wyczerpująco uzasadniać opinie Planuje i realizuje właściwą gospodarkę odpadami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T2A_U12</w:t>
      </w:r>
    </w:p>
    <w:p>
      <w:pPr>
        <w:keepNext w:val="1"/>
        <w:spacing w:after="10"/>
      </w:pPr>
      <w:r>
        <w:rPr>
          <w:b/>
          <w:bCs/>
        </w:rPr>
        <w:t xml:space="preserve">Efekt U03: </w:t>
      </w:r>
    </w:p>
    <w:p>
      <w:pPr/>
      <w:r>
        <w:rPr/>
        <w:t xml:space="preserve">Potrafi sformułować specyfikację prostych procesów technologicznych i biotechnologicznych w odniesieniu do surowców, operacji jednostkowych i aparatury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2026-07-28T14:59:29+02:00</dcterms:created>
  <dcterms:modified xsi:type="dcterms:W3CDTF">2026-07-28T14:59:29+02:00</dcterms:modified>
</cp:coreProperties>
</file>

<file path=docProps/custom.xml><?xml version="1.0" encoding="utf-8"?>
<Properties xmlns="http://schemas.openxmlformats.org/officeDocument/2006/custom-properties" xmlns:vt="http://schemas.openxmlformats.org/officeDocument/2006/docPropsVTypes"/>
</file>