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ceramicznych, w tym materiałów kompozytów oraz ich podział ze względu na właściwości magnetyczne, piezoelektryczne, elektrooptyczne, narzędziowe, itd.</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keepNext w:val="1"/>
        <w:spacing w:after="10"/>
      </w:pPr>
      <w:r>
        <w:rPr>
          <w:b/>
          <w:bCs/>
        </w:rPr>
        <w:t xml:space="preserve">Efekt W02: </w:t>
      </w:r>
    </w:p>
    <w:p>
      <w:pPr/>
      <w:r>
        <w:rPr/>
        <w:t xml:space="preserve">zna podstawowe metody syntezy, formowania i spiekania proszków ceramicznych, ich właściwości fizykochemiczne oraz możliwe kierunki zastosowań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odpowiednią metodę wytwarzania produktu ceramicznego w odniesieniu do wymaganych właściwości produktu i zaplecza technicznego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K_U22, K_U24</w:t>
      </w:r>
    </w:p>
    <w:p>
      <w:pPr>
        <w:spacing w:before="20" w:after="190"/>
      </w:pPr>
      <w:r>
        <w:rPr>
          <w:b/>
          <w:bCs/>
        </w:rPr>
        <w:t xml:space="preserve">Powiązane efekty obszarowe: </w:t>
      </w:r>
      <w:r>
        <w:rPr/>
        <w:t xml:space="preserve">T1A_U12,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i rozumie potrzebę popularyzacji osiągnięć technologii ceramiki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K_K01, K_K04, K_K08</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2026-06-22T12:19:02+02:00</dcterms:created>
  <dcterms:modified xsi:type="dcterms:W3CDTF">2026-06-22T12:19:02+02:00</dcterms:modified>
</cp:coreProperties>
</file>

<file path=docProps/custom.xml><?xml version="1.0" encoding="utf-8"?>
<Properties xmlns="http://schemas.openxmlformats.org/officeDocument/2006/custom-properties" xmlns:vt="http://schemas.openxmlformats.org/officeDocument/2006/docPropsVTypes"/>
</file>